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4F2" w:rsidRDefault="006064F2" w:rsidP="00582EE6">
      <w:pPr>
        <w:jc w:val="center"/>
        <w:rPr>
          <w:rFonts w:asciiTheme="majorHAnsi" w:hAnsiTheme="majorHAnsi"/>
          <w:b/>
          <w:sz w:val="24"/>
          <w:szCs w:val="24"/>
        </w:rPr>
      </w:pPr>
      <w:r>
        <w:rPr>
          <w:rFonts w:ascii="Verdana" w:hAnsi="Verdana" w:cs="Arial"/>
          <w:b/>
          <w:noProof/>
          <w:color w:val="000000"/>
          <w:sz w:val="18"/>
          <w:szCs w:val="18"/>
          <w:lang w:eastAsia="el-GR"/>
        </w:rPr>
        <w:drawing>
          <wp:inline distT="0" distB="0" distL="0" distR="0">
            <wp:extent cx="2743200" cy="795020"/>
            <wp:effectExtent l="0" t="0" r="0" b="5080"/>
            <wp:docPr id="1" name="Εικόνα 1" descr="logo_ypοynt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ypοynt_g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795020"/>
                    </a:xfrm>
                    <a:prstGeom prst="rect">
                      <a:avLst/>
                    </a:prstGeom>
                    <a:noFill/>
                    <a:ln>
                      <a:noFill/>
                    </a:ln>
                  </pic:spPr>
                </pic:pic>
              </a:graphicData>
            </a:graphic>
          </wp:inline>
        </w:drawing>
      </w:r>
    </w:p>
    <w:p w:rsidR="006064F2" w:rsidRPr="009A225A" w:rsidRDefault="006064F2" w:rsidP="006064F2">
      <w:pPr>
        <w:snapToGrid w:val="0"/>
        <w:spacing w:before="40" w:after="40"/>
        <w:jc w:val="center"/>
        <w:rPr>
          <w:rFonts w:ascii="Verdana" w:hAnsi="Verdana" w:cs="Arial"/>
          <w:b/>
          <w:color w:val="000000"/>
          <w:sz w:val="18"/>
          <w:szCs w:val="18"/>
        </w:rPr>
      </w:pPr>
      <w:r w:rsidRPr="009A225A">
        <w:rPr>
          <w:rFonts w:ascii="Verdana" w:hAnsi="Verdana" w:cs="Arial"/>
          <w:b/>
          <w:color w:val="000000"/>
          <w:sz w:val="18"/>
          <w:szCs w:val="18"/>
        </w:rPr>
        <w:t>ΓΕΝΙΚΗ ΓΡΑΜΜΑΤΕΙΑ ΔΗΜΟΣΙΩΝ ΕΠΕΝΔΥΣΕΩΝ – ΕΣΠΑ</w:t>
      </w:r>
    </w:p>
    <w:p w:rsidR="006064F2" w:rsidRDefault="006064F2" w:rsidP="006064F2">
      <w:pPr>
        <w:snapToGrid w:val="0"/>
        <w:spacing w:before="40" w:after="40"/>
        <w:jc w:val="center"/>
        <w:rPr>
          <w:rFonts w:ascii="Verdana" w:hAnsi="Verdana" w:cs="Arial"/>
          <w:b/>
          <w:color w:val="000000"/>
          <w:sz w:val="18"/>
          <w:szCs w:val="18"/>
        </w:rPr>
      </w:pPr>
      <w:r>
        <w:rPr>
          <w:rFonts w:ascii="Verdana" w:hAnsi="Verdana" w:cs="Arial"/>
          <w:b/>
          <w:color w:val="000000"/>
          <w:sz w:val="18"/>
          <w:szCs w:val="18"/>
        </w:rPr>
        <w:t>ΕΘΝΙΚΗ ΑΡΧΗ ΣΥΝΤΟΝΙΣΜΟΥ ΕΣΠΑ</w:t>
      </w:r>
    </w:p>
    <w:p w:rsidR="006064F2" w:rsidRPr="006064F2" w:rsidRDefault="006064F2" w:rsidP="006064F2">
      <w:pPr>
        <w:jc w:val="center"/>
        <w:rPr>
          <w:rFonts w:asciiTheme="majorHAnsi" w:hAnsiTheme="majorHAnsi"/>
          <w:b/>
          <w:sz w:val="24"/>
          <w:szCs w:val="24"/>
        </w:rPr>
      </w:pPr>
      <w:r w:rsidRPr="006064F2">
        <w:rPr>
          <w:rFonts w:ascii="Verdana" w:hAnsi="Verdana" w:cs="Arial"/>
          <w:b/>
          <w:color w:val="000000"/>
          <w:sz w:val="18"/>
          <w:szCs w:val="18"/>
        </w:rPr>
        <w:t xml:space="preserve">ΕΙΔΙΚΗ ΥΠΗΡΕΣΙΑ ΣΤΡΑΤΗΓΙΚΗΣ, ΣΧΕΔΙΑΣΜΟΥ &amp; ΑΞΙΟΛΟΓΗΣΗΣ </w:t>
      </w:r>
    </w:p>
    <w:p w:rsidR="006064F2" w:rsidRDefault="006064F2" w:rsidP="00582EE6">
      <w:pPr>
        <w:jc w:val="center"/>
        <w:rPr>
          <w:rFonts w:asciiTheme="majorHAnsi" w:hAnsiTheme="majorHAnsi"/>
          <w:b/>
          <w:sz w:val="24"/>
          <w:szCs w:val="24"/>
        </w:rPr>
      </w:pPr>
    </w:p>
    <w:p w:rsidR="00473EB4" w:rsidRDefault="00473EB4" w:rsidP="00473EB4">
      <w:pPr>
        <w:spacing w:before="240" w:after="240"/>
        <w:jc w:val="center"/>
        <w:rPr>
          <w:rFonts w:asciiTheme="majorHAnsi" w:hAnsiTheme="majorHAnsi"/>
          <w:b/>
          <w:sz w:val="24"/>
          <w:szCs w:val="24"/>
        </w:rPr>
      </w:pPr>
      <w:r w:rsidRPr="00473EB4">
        <w:rPr>
          <w:rFonts w:asciiTheme="majorHAnsi" w:hAnsiTheme="majorHAnsi"/>
          <w:b/>
          <w:sz w:val="24"/>
          <w:szCs w:val="24"/>
        </w:rPr>
        <w:t>Η Αξιολόγηση στην Προγραμματική Περίοδο 2014-2020</w:t>
      </w:r>
    </w:p>
    <w:p w:rsidR="0074396B" w:rsidRPr="0074396B" w:rsidRDefault="0074396B" w:rsidP="0074396B">
      <w:pPr>
        <w:rPr>
          <w:rFonts w:asciiTheme="majorHAnsi" w:hAnsiTheme="majorHAnsi"/>
          <w:sz w:val="22"/>
        </w:rPr>
      </w:pPr>
      <w:r w:rsidRPr="0074396B">
        <w:rPr>
          <w:rFonts w:asciiTheme="majorHAnsi" w:hAnsiTheme="majorHAnsi"/>
          <w:sz w:val="22"/>
        </w:rPr>
        <w:t>Στην περίοδο προγραμματισμού 2014-2020, οι Διαχειριστικές Αρχές (ΔΑ) θα πρέπει να εξασφαλίζουν ότι πραγματοποιούνται αξιολογήσεις για την αποτίμηση της αποτελεσματικότητας, της αποδοτικότητας και των επιπτώσεων των Επιχειρησιακών Προγραμμάτων (ΕΠ).</w:t>
      </w:r>
    </w:p>
    <w:p w:rsidR="0074396B" w:rsidRPr="0074396B" w:rsidRDefault="0074396B" w:rsidP="0074396B">
      <w:pPr>
        <w:rPr>
          <w:rFonts w:asciiTheme="majorHAnsi" w:hAnsiTheme="majorHAnsi"/>
          <w:sz w:val="22"/>
        </w:rPr>
      </w:pPr>
      <w:r w:rsidRPr="0074396B">
        <w:rPr>
          <w:rFonts w:asciiTheme="majorHAnsi" w:hAnsiTheme="majorHAnsi"/>
          <w:sz w:val="22"/>
        </w:rPr>
        <w:t>Η αξιολόγηση κατά την υλοποίηση των ΕΠ (</w:t>
      </w:r>
      <w:proofErr w:type="spellStart"/>
      <w:r w:rsidRPr="0074396B">
        <w:rPr>
          <w:rFonts w:asciiTheme="majorHAnsi" w:hAnsiTheme="majorHAnsi"/>
          <w:sz w:val="22"/>
        </w:rPr>
        <w:t>implementation</w:t>
      </w:r>
      <w:proofErr w:type="spellEnd"/>
      <w:r w:rsidRPr="0074396B">
        <w:rPr>
          <w:rFonts w:asciiTheme="majorHAnsi" w:hAnsiTheme="majorHAnsi"/>
          <w:sz w:val="22"/>
        </w:rPr>
        <w:t xml:space="preserve"> </w:t>
      </w:r>
      <w:proofErr w:type="spellStart"/>
      <w:r w:rsidRPr="0074396B">
        <w:rPr>
          <w:rFonts w:asciiTheme="majorHAnsi" w:hAnsiTheme="majorHAnsi"/>
          <w:sz w:val="22"/>
        </w:rPr>
        <w:t>evaluation</w:t>
      </w:r>
      <w:proofErr w:type="spellEnd"/>
      <w:r w:rsidRPr="0074396B">
        <w:rPr>
          <w:rFonts w:asciiTheme="majorHAnsi" w:hAnsiTheme="majorHAnsi"/>
          <w:sz w:val="22"/>
        </w:rPr>
        <w:t>), εξυπηρετεί την ομαλή υλοποίηση των Προγραμμάτων, καθώς εστιάζει στο πως εφαρμόζεται ένα ΕΠ και επομένως μπορεί να είναι πιο χρήσιμο να έχει ολοκληρωθεί κατά τα πρώτα στάδια του κύκλου ζωής των Προγραμμάτων.</w:t>
      </w:r>
    </w:p>
    <w:p w:rsidR="0074396B" w:rsidRPr="0074396B" w:rsidRDefault="0074396B" w:rsidP="0074396B">
      <w:pPr>
        <w:rPr>
          <w:rFonts w:asciiTheme="majorHAnsi" w:hAnsiTheme="majorHAnsi"/>
          <w:sz w:val="22"/>
        </w:rPr>
      </w:pPr>
      <w:r w:rsidRPr="0074396B">
        <w:rPr>
          <w:rFonts w:asciiTheme="majorHAnsi" w:hAnsiTheme="majorHAnsi"/>
          <w:sz w:val="22"/>
        </w:rPr>
        <w:t>Η αξιολόγηση των επιπτώσεων (</w:t>
      </w:r>
      <w:proofErr w:type="spellStart"/>
      <w:r w:rsidRPr="0074396B">
        <w:rPr>
          <w:rFonts w:asciiTheme="majorHAnsi" w:hAnsiTheme="majorHAnsi"/>
          <w:sz w:val="22"/>
        </w:rPr>
        <w:t>impact</w:t>
      </w:r>
      <w:proofErr w:type="spellEnd"/>
      <w:r w:rsidRPr="0074396B">
        <w:rPr>
          <w:rFonts w:asciiTheme="majorHAnsi" w:hAnsiTheme="majorHAnsi"/>
          <w:sz w:val="22"/>
        </w:rPr>
        <w:t xml:space="preserve"> </w:t>
      </w:r>
      <w:proofErr w:type="spellStart"/>
      <w:r w:rsidRPr="0074396B">
        <w:rPr>
          <w:rFonts w:asciiTheme="majorHAnsi" w:hAnsiTheme="majorHAnsi"/>
          <w:sz w:val="22"/>
        </w:rPr>
        <w:t>evaluation</w:t>
      </w:r>
      <w:proofErr w:type="spellEnd"/>
      <w:r w:rsidRPr="0074396B">
        <w:rPr>
          <w:rFonts w:asciiTheme="majorHAnsi" w:hAnsiTheme="majorHAnsi"/>
          <w:sz w:val="22"/>
        </w:rPr>
        <w:t>) έχει ως στόχο να διερευνήσει τα αποτελέσματα των παρεμβάσεων και εστιάζει στο κατά πόσο επιτεύχθηκαν οι στόχοι κάθε άξονα προτεραιότητας. Η αξιολόγηση των επιπτώσεων θα πρέπει να υλοποιηθεί τουλάχιστον μία φορά κατά τη διάρκεια της προγραμματικής περιόδου.</w:t>
      </w:r>
    </w:p>
    <w:p w:rsidR="0074396B" w:rsidRPr="0074396B" w:rsidRDefault="0074396B" w:rsidP="0074396B">
      <w:pPr>
        <w:rPr>
          <w:rFonts w:asciiTheme="majorHAnsi" w:hAnsiTheme="majorHAnsi"/>
          <w:sz w:val="22"/>
        </w:rPr>
      </w:pPr>
      <w:r w:rsidRPr="0074396B">
        <w:rPr>
          <w:rFonts w:asciiTheme="majorHAnsi" w:hAnsiTheme="majorHAnsi"/>
          <w:sz w:val="22"/>
        </w:rPr>
        <w:t>Οι ΔΑ οφείλουν να υποβάλλουν στην Ευρωπαϊκή Επιτροπή, έως τις 31 Δεκεμβρίου 2022, έκθεση που παρουσιάζει συνοπτικά τα συμπεράσματα των αξιολογήσεων που πραγματοποιήθηκαν κατά τη διάρκεια της περιόδου προγραμματισμού και τις κύριες εκροές και αποτελέσματα του Προγράμματος, διατυπώνοντας σχόλια σχετικά με τις κοινοποιηθείσες πληροφορίες (Άρθρο 114 CPR). Η συνοπτική αναφορά αξιολόγησης (</w:t>
      </w:r>
      <w:proofErr w:type="spellStart"/>
      <w:r w:rsidRPr="0074396B">
        <w:rPr>
          <w:rFonts w:asciiTheme="majorHAnsi" w:hAnsiTheme="majorHAnsi"/>
          <w:sz w:val="22"/>
        </w:rPr>
        <w:t>report</w:t>
      </w:r>
      <w:proofErr w:type="spellEnd"/>
      <w:r w:rsidRPr="0074396B">
        <w:rPr>
          <w:rFonts w:asciiTheme="majorHAnsi" w:hAnsiTheme="majorHAnsi"/>
          <w:sz w:val="22"/>
        </w:rPr>
        <w:t xml:space="preserve"> </w:t>
      </w:r>
      <w:proofErr w:type="spellStart"/>
      <w:r w:rsidRPr="0074396B">
        <w:rPr>
          <w:rFonts w:asciiTheme="majorHAnsi" w:hAnsiTheme="majorHAnsi"/>
          <w:sz w:val="22"/>
        </w:rPr>
        <w:t>summarising</w:t>
      </w:r>
      <w:proofErr w:type="spellEnd"/>
      <w:r w:rsidRPr="0074396B">
        <w:rPr>
          <w:rFonts w:asciiTheme="majorHAnsi" w:hAnsiTheme="majorHAnsi"/>
          <w:sz w:val="22"/>
        </w:rPr>
        <w:t xml:space="preserve"> </w:t>
      </w:r>
      <w:proofErr w:type="spellStart"/>
      <w:r w:rsidRPr="0074396B">
        <w:rPr>
          <w:rFonts w:asciiTheme="majorHAnsi" w:hAnsiTheme="majorHAnsi"/>
          <w:sz w:val="22"/>
        </w:rPr>
        <w:t>evaluation</w:t>
      </w:r>
      <w:proofErr w:type="spellEnd"/>
      <w:r w:rsidRPr="0074396B">
        <w:rPr>
          <w:rFonts w:asciiTheme="majorHAnsi" w:hAnsiTheme="majorHAnsi"/>
          <w:sz w:val="22"/>
        </w:rPr>
        <w:t>) έχει ως στόχο να βοηθήσει τα Κράτη Μέλη (Κ-Μ) να προετοιμαστούν για την επόμενη προγραμματική περίοδο αλλά και να υποστηρίξει την εκ των υστέρων αξιολόγηση που θα πραγματοποιηθεί από την Επιτροπή σε συνεργασία με τα Κ-Μ.</w:t>
      </w:r>
    </w:p>
    <w:p w:rsidR="0074396B" w:rsidRPr="0074396B" w:rsidRDefault="0074396B" w:rsidP="0074396B">
      <w:pPr>
        <w:rPr>
          <w:rFonts w:asciiTheme="majorHAnsi" w:hAnsiTheme="majorHAnsi"/>
          <w:sz w:val="22"/>
        </w:rPr>
      </w:pPr>
      <w:r w:rsidRPr="0074396B">
        <w:rPr>
          <w:rFonts w:asciiTheme="majorHAnsi" w:hAnsiTheme="majorHAnsi"/>
          <w:sz w:val="22"/>
        </w:rPr>
        <w:t>Κάθε αξιολόγηση θα πρέπει να συνδέεται με τη λογική της παρέμβασης και συγκεκριμένα με τους εδικούς στόχους και τους δείκτες αποτελέσματος του ΕΠ.</w:t>
      </w:r>
    </w:p>
    <w:p w:rsidR="0074396B" w:rsidRPr="0074396B" w:rsidRDefault="0074396B" w:rsidP="0074396B">
      <w:pPr>
        <w:rPr>
          <w:rFonts w:asciiTheme="majorHAnsi" w:hAnsiTheme="majorHAnsi"/>
          <w:sz w:val="22"/>
        </w:rPr>
      </w:pPr>
      <w:r w:rsidRPr="0074396B">
        <w:rPr>
          <w:rFonts w:asciiTheme="majorHAnsi" w:hAnsiTheme="majorHAnsi"/>
          <w:sz w:val="22"/>
        </w:rPr>
        <w:t xml:space="preserve">Όλες οι αξιολογήσεις εξετάζονται από την </w:t>
      </w:r>
      <w:proofErr w:type="spellStart"/>
      <w:r w:rsidRPr="0074396B">
        <w:rPr>
          <w:rFonts w:asciiTheme="majorHAnsi" w:hAnsiTheme="majorHAnsi"/>
          <w:sz w:val="22"/>
        </w:rPr>
        <w:t>ΕπΠα</w:t>
      </w:r>
      <w:proofErr w:type="spellEnd"/>
      <w:r w:rsidRPr="0074396B">
        <w:rPr>
          <w:rFonts w:asciiTheme="majorHAnsi" w:hAnsiTheme="majorHAnsi"/>
          <w:sz w:val="22"/>
        </w:rPr>
        <w:t xml:space="preserve"> (Άρθρο 56 CPR), η οποία παρακολουθεί τα συμπεράσματα όλων των αξιολογήσεων (Άρθρο 110 CPR) και δύναται να υποβάλει παρατηρήσεις στη ΔΑ αναφορικά με την υλοποίηση και την αξιολόγηση του προγράμματος, συμπεριλαμβανομένων ενεργειών που σχετίζονται με τη μείωση της διοικητικής επιβάρυνσης των δικαιούχων. Επιπλέον, η </w:t>
      </w:r>
      <w:proofErr w:type="spellStart"/>
      <w:r w:rsidRPr="0074396B">
        <w:rPr>
          <w:rFonts w:asciiTheme="majorHAnsi" w:hAnsiTheme="majorHAnsi"/>
          <w:sz w:val="22"/>
        </w:rPr>
        <w:t>ΕπΠα</w:t>
      </w:r>
      <w:proofErr w:type="spellEnd"/>
      <w:r w:rsidRPr="0074396B">
        <w:rPr>
          <w:rFonts w:asciiTheme="majorHAnsi" w:hAnsiTheme="majorHAnsi"/>
          <w:sz w:val="22"/>
        </w:rPr>
        <w:t xml:space="preserve"> παρακολουθεί τα μέτρα που λαμβάνονται ως αποτέλεσμα των παρατηρήσεών της (Άρθρο 49 CPR).</w:t>
      </w:r>
    </w:p>
    <w:p w:rsidR="0074396B" w:rsidRPr="0074396B" w:rsidRDefault="0074396B" w:rsidP="0074396B">
      <w:pPr>
        <w:rPr>
          <w:rFonts w:asciiTheme="majorHAnsi" w:hAnsiTheme="majorHAnsi"/>
          <w:sz w:val="22"/>
        </w:rPr>
      </w:pPr>
      <w:r w:rsidRPr="0074396B">
        <w:rPr>
          <w:rFonts w:asciiTheme="majorHAnsi" w:hAnsiTheme="majorHAnsi"/>
          <w:sz w:val="22"/>
        </w:rPr>
        <w:t>Όλες οι αξιολογήσεις διαβιβάζονται στην Ευρωπαϊκή Επιτροπή (Άρθρο 56 CPR) και δημοσιοποιούνται στο κοινό (Άρθρο 54 CPR).</w:t>
      </w:r>
    </w:p>
    <w:p w:rsidR="0074396B" w:rsidRPr="0074396B" w:rsidRDefault="0074396B" w:rsidP="0074396B">
      <w:pPr>
        <w:rPr>
          <w:rFonts w:asciiTheme="majorHAnsi" w:hAnsiTheme="majorHAnsi"/>
          <w:sz w:val="22"/>
        </w:rPr>
      </w:pPr>
    </w:p>
    <w:p w:rsidR="0074396B" w:rsidRPr="0074396B" w:rsidRDefault="0074396B" w:rsidP="0074396B">
      <w:pPr>
        <w:rPr>
          <w:rFonts w:asciiTheme="majorHAnsi" w:hAnsiTheme="majorHAnsi"/>
          <w:b/>
          <w:sz w:val="22"/>
        </w:rPr>
      </w:pPr>
      <w:r w:rsidRPr="0074396B">
        <w:rPr>
          <w:rFonts w:asciiTheme="majorHAnsi" w:hAnsiTheme="majorHAnsi"/>
          <w:b/>
          <w:sz w:val="22"/>
        </w:rPr>
        <w:t>Σχέδιο Αξιολόγησης</w:t>
      </w:r>
    </w:p>
    <w:p w:rsidR="0074396B" w:rsidRPr="0074396B" w:rsidRDefault="0074396B" w:rsidP="0074396B">
      <w:pPr>
        <w:rPr>
          <w:rFonts w:asciiTheme="majorHAnsi" w:hAnsiTheme="majorHAnsi"/>
          <w:sz w:val="22"/>
        </w:rPr>
      </w:pPr>
      <w:r w:rsidRPr="0074396B">
        <w:rPr>
          <w:rFonts w:asciiTheme="majorHAnsi" w:hAnsiTheme="majorHAnsi"/>
          <w:sz w:val="22"/>
        </w:rPr>
        <w:t>Σύμφωνα με τα Άρθρα 56 και 114 του Κανονισμού 1303/2013 (CPR), η Διαχειριστική Αρχή (ΔΑ) ή το Κράτος Μέλος (Κ-Μ) καταρτίζουν σχέδιο αξιολόγησης (</w:t>
      </w:r>
      <w:proofErr w:type="spellStart"/>
      <w:r w:rsidRPr="0074396B">
        <w:rPr>
          <w:rFonts w:asciiTheme="majorHAnsi" w:hAnsiTheme="majorHAnsi"/>
          <w:sz w:val="22"/>
        </w:rPr>
        <w:t>evaluation</w:t>
      </w:r>
      <w:proofErr w:type="spellEnd"/>
      <w:r w:rsidRPr="0074396B">
        <w:rPr>
          <w:rFonts w:asciiTheme="majorHAnsi" w:hAnsiTheme="majorHAnsi"/>
          <w:sz w:val="22"/>
        </w:rPr>
        <w:t xml:space="preserve"> </w:t>
      </w:r>
      <w:proofErr w:type="spellStart"/>
      <w:r w:rsidRPr="0074396B">
        <w:rPr>
          <w:rFonts w:asciiTheme="majorHAnsi" w:hAnsiTheme="majorHAnsi"/>
          <w:sz w:val="22"/>
        </w:rPr>
        <w:t>plan</w:t>
      </w:r>
      <w:proofErr w:type="spellEnd"/>
      <w:r w:rsidRPr="0074396B">
        <w:rPr>
          <w:rFonts w:asciiTheme="majorHAnsi" w:hAnsiTheme="majorHAnsi"/>
          <w:sz w:val="22"/>
        </w:rPr>
        <w:t xml:space="preserve">), το οποίο μπορεί να καλύπτει περισσότερα από ένα Επιχειρησιακά Προγράμματα (ΕΠ). Το σχέδιο αξιολόγησης υποβάλλεται για έγκριση στην </w:t>
      </w:r>
      <w:proofErr w:type="spellStart"/>
      <w:r w:rsidRPr="0074396B">
        <w:rPr>
          <w:rFonts w:asciiTheme="majorHAnsi" w:hAnsiTheme="majorHAnsi"/>
          <w:sz w:val="22"/>
        </w:rPr>
        <w:t>ΕπΠα</w:t>
      </w:r>
      <w:proofErr w:type="spellEnd"/>
      <w:r w:rsidRPr="0074396B">
        <w:rPr>
          <w:rFonts w:asciiTheme="majorHAnsi" w:hAnsiTheme="majorHAnsi"/>
          <w:sz w:val="22"/>
        </w:rPr>
        <w:t xml:space="preserve"> κάθε ΕΠ το αργότερο ένα έτος μετά την έγκριση του Προγράμματος.</w:t>
      </w:r>
    </w:p>
    <w:p w:rsidR="0074396B" w:rsidRPr="0074396B" w:rsidRDefault="0074396B" w:rsidP="0074396B">
      <w:pPr>
        <w:rPr>
          <w:rFonts w:asciiTheme="majorHAnsi" w:hAnsiTheme="majorHAnsi"/>
          <w:sz w:val="22"/>
        </w:rPr>
      </w:pPr>
      <w:r w:rsidRPr="0074396B">
        <w:rPr>
          <w:rFonts w:asciiTheme="majorHAnsi" w:hAnsiTheme="majorHAnsi"/>
          <w:sz w:val="22"/>
        </w:rPr>
        <w:lastRenderedPageBreak/>
        <w:t>Σκοπός του σχεδίου αξιολόγησης είναι να βελτιωθεί η ποιότητα των αξιολογήσεων που διενεργούνται κατά τη διάρκεια της προγραμματικής περιόδου 2014-2020, διαμορφώνοντας ένα στρατηγικό προγραμματισμό των αξιολογήσεων που κρίνονται απαραίτητες προκειμένου να εκτιμηθεί η αποτελεσματικότητα, η αποδοτικότητα και οι επιπτώσεις των ΕΠ και να βελτιωθεί ο σχεδιασμός και η υλοποίησή τους. Πρέπει επίσης να διασφαλίζεται η διαθεσιμότητα των στοιχείων που θα πρέπει να τροφοδοτούν κάθε φορά τις Ετήσιες Εκθέσεις και τις Εκθέσεις Προόδου.</w:t>
      </w:r>
    </w:p>
    <w:p w:rsidR="0074396B" w:rsidRPr="0074396B" w:rsidRDefault="0074396B" w:rsidP="0074396B">
      <w:pPr>
        <w:rPr>
          <w:rFonts w:asciiTheme="majorHAnsi" w:hAnsiTheme="majorHAnsi"/>
          <w:sz w:val="22"/>
        </w:rPr>
      </w:pPr>
      <w:r w:rsidRPr="0074396B">
        <w:rPr>
          <w:rFonts w:asciiTheme="majorHAnsi" w:hAnsiTheme="majorHAnsi"/>
          <w:sz w:val="22"/>
        </w:rPr>
        <w:t>Τα σημαντικότερα στοιχεία που θα πρέπει να περιλαμβάνει ένα σχέδιο αξιολόγησης είναι:</w:t>
      </w:r>
    </w:p>
    <w:p w:rsidR="0074396B" w:rsidRPr="0074396B" w:rsidRDefault="0074396B" w:rsidP="0074396B">
      <w:pPr>
        <w:pStyle w:val="a3"/>
        <w:numPr>
          <w:ilvl w:val="0"/>
          <w:numId w:val="9"/>
        </w:numPr>
        <w:ind w:left="567" w:hanging="207"/>
        <w:rPr>
          <w:rFonts w:asciiTheme="majorHAnsi" w:hAnsiTheme="majorHAnsi"/>
        </w:rPr>
      </w:pPr>
      <w:r w:rsidRPr="0074396B">
        <w:rPr>
          <w:rFonts w:asciiTheme="majorHAnsi" w:hAnsiTheme="majorHAnsi"/>
        </w:rPr>
        <w:t>Ενδεικτική λίστα των αξιολογήσεων που σχεδιάζεται να πραγματοποιηθούν και των μεθόδων που θα χρησιμοποιηθούν.</w:t>
      </w:r>
    </w:p>
    <w:p w:rsidR="0074396B" w:rsidRPr="0074396B" w:rsidRDefault="0074396B" w:rsidP="0074396B">
      <w:pPr>
        <w:pStyle w:val="a3"/>
        <w:numPr>
          <w:ilvl w:val="0"/>
          <w:numId w:val="9"/>
        </w:numPr>
        <w:ind w:left="567" w:hanging="207"/>
        <w:rPr>
          <w:rFonts w:asciiTheme="majorHAnsi" w:hAnsiTheme="majorHAnsi"/>
        </w:rPr>
      </w:pPr>
      <w:r w:rsidRPr="0074396B">
        <w:rPr>
          <w:rFonts w:asciiTheme="majorHAnsi" w:hAnsiTheme="majorHAnsi"/>
        </w:rPr>
        <w:t>Διατάξεις για τη διασφάλιση της διαθεσιμότητας των δεδομένων που είναι απαραίτητα για τη διενέργεια των αξιολογήσεων.</w:t>
      </w:r>
    </w:p>
    <w:p w:rsidR="0074396B" w:rsidRPr="0074396B" w:rsidRDefault="0074396B" w:rsidP="0074396B">
      <w:pPr>
        <w:pStyle w:val="a3"/>
        <w:numPr>
          <w:ilvl w:val="0"/>
          <w:numId w:val="9"/>
        </w:numPr>
        <w:ind w:left="567" w:hanging="207"/>
        <w:rPr>
          <w:rFonts w:asciiTheme="majorHAnsi" w:hAnsiTheme="majorHAnsi"/>
        </w:rPr>
      </w:pPr>
      <w:r w:rsidRPr="0074396B">
        <w:rPr>
          <w:rFonts w:asciiTheme="majorHAnsi" w:hAnsiTheme="majorHAnsi"/>
        </w:rPr>
        <w:t>Χρονοδιάγραμμα &amp; ενδεικτικός προϋπολογισμός των αξιολογήσεων.</w:t>
      </w:r>
    </w:p>
    <w:p w:rsidR="0074396B" w:rsidRPr="0074396B" w:rsidRDefault="0074396B" w:rsidP="0074396B">
      <w:pPr>
        <w:pStyle w:val="a3"/>
        <w:numPr>
          <w:ilvl w:val="0"/>
          <w:numId w:val="9"/>
        </w:numPr>
        <w:ind w:left="567" w:hanging="207"/>
        <w:rPr>
          <w:rFonts w:asciiTheme="majorHAnsi" w:hAnsiTheme="majorHAnsi"/>
        </w:rPr>
      </w:pPr>
      <w:r w:rsidRPr="0074396B">
        <w:rPr>
          <w:rFonts w:asciiTheme="majorHAnsi" w:hAnsiTheme="majorHAnsi"/>
        </w:rPr>
        <w:t>Τρόπος παρακολούθησης και διάδοσης των ευρημάτων των αξιολογήσεων.</w:t>
      </w:r>
    </w:p>
    <w:p w:rsidR="0074396B" w:rsidRPr="0074396B" w:rsidRDefault="0074396B" w:rsidP="0074396B">
      <w:pPr>
        <w:pStyle w:val="a3"/>
        <w:numPr>
          <w:ilvl w:val="0"/>
          <w:numId w:val="9"/>
        </w:numPr>
        <w:ind w:left="567" w:hanging="207"/>
        <w:rPr>
          <w:rFonts w:asciiTheme="majorHAnsi" w:hAnsiTheme="majorHAnsi"/>
        </w:rPr>
      </w:pPr>
      <w:r w:rsidRPr="0074396B">
        <w:rPr>
          <w:rFonts w:asciiTheme="majorHAnsi" w:hAnsiTheme="majorHAnsi"/>
        </w:rPr>
        <w:t>Ανθρώπινοι πόροι που είναι απαραίτητοι.</w:t>
      </w:r>
    </w:p>
    <w:p w:rsidR="0074396B" w:rsidRPr="0074396B" w:rsidRDefault="0074396B" w:rsidP="0074396B">
      <w:pPr>
        <w:rPr>
          <w:rFonts w:asciiTheme="majorHAnsi" w:hAnsiTheme="majorHAnsi"/>
          <w:sz w:val="22"/>
        </w:rPr>
      </w:pPr>
      <w:r w:rsidRPr="0074396B">
        <w:rPr>
          <w:rFonts w:asciiTheme="majorHAnsi" w:hAnsiTheme="majorHAnsi"/>
          <w:sz w:val="22"/>
        </w:rPr>
        <w:t xml:space="preserve">Για την καλύτερη υποστήριξη και για το συντονισμό των ΔΑ και προκειμένου τα σχέδια αξιολόγησης να έχουν ολοκληρωθεί και εγκριθεί από τις </w:t>
      </w:r>
      <w:proofErr w:type="spellStart"/>
      <w:r w:rsidRPr="0074396B">
        <w:rPr>
          <w:rFonts w:asciiTheme="majorHAnsi" w:hAnsiTheme="majorHAnsi"/>
          <w:sz w:val="22"/>
        </w:rPr>
        <w:t>ΕπΠα</w:t>
      </w:r>
      <w:proofErr w:type="spellEnd"/>
      <w:r w:rsidRPr="0074396B">
        <w:rPr>
          <w:rFonts w:asciiTheme="majorHAnsi" w:hAnsiTheme="majorHAnsi"/>
          <w:sz w:val="22"/>
        </w:rPr>
        <w:t xml:space="preserve"> των ΕΠ το αργότερο ένα έτος μετά την έγκριση κάθε Προγράμματος, η ΕΥΣΣΑ και η ΕΥΣΕΚΤ προγραμματίζουν μέχρι και το τέλος Σεπτεμβρίου τις ακόλουθες ενέργειες:</w:t>
      </w:r>
    </w:p>
    <w:p w:rsidR="0074396B" w:rsidRPr="0074396B" w:rsidRDefault="0074396B" w:rsidP="0074396B">
      <w:pPr>
        <w:pStyle w:val="a3"/>
        <w:numPr>
          <w:ilvl w:val="0"/>
          <w:numId w:val="9"/>
        </w:numPr>
        <w:ind w:left="567" w:hanging="207"/>
        <w:rPr>
          <w:rFonts w:asciiTheme="majorHAnsi" w:hAnsiTheme="majorHAnsi"/>
        </w:rPr>
      </w:pPr>
      <w:r w:rsidRPr="0074396B">
        <w:rPr>
          <w:rFonts w:asciiTheme="majorHAnsi" w:hAnsiTheme="majorHAnsi"/>
        </w:rPr>
        <w:t>Αποστολή οδηγιών για τη διαμόρφωση των σχεδίων αξιολόγησης</w:t>
      </w:r>
    </w:p>
    <w:p w:rsidR="0074396B" w:rsidRPr="0074396B" w:rsidRDefault="0074396B" w:rsidP="0074396B">
      <w:pPr>
        <w:pStyle w:val="a3"/>
        <w:numPr>
          <w:ilvl w:val="0"/>
          <w:numId w:val="9"/>
        </w:numPr>
        <w:ind w:left="567" w:hanging="207"/>
        <w:rPr>
          <w:rFonts w:asciiTheme="majorHAnsi" w:hAnsiTheme="majorHAnsi"/>
        </w:rPr>
      </w:pPr>
      <w:r w:rsidRPr="0074396B">
        <w:rPr>
          <w:rFonts w:asciiTheme="majorHAnsi" w:hAnsiTheme="majorHAnsi"/>
        </w:rPr>
        <w:t>Συνάντηση εθνικού δικτύου αξιολόγησης</w:t>
      </w:r>
    </w:p>
    <w:p w:rsidR="00FA7362" w:rsidRDefault="0074396B" w:rsidP="0074396B">
      <w:pPr>
        <w:pStyle w:val="a3"/>
        <w:numPr>
          <w:ilvl w:val="0"/>
          <w:numId w:val="9"/>
        </w:numPr>
        <w:ind w:left="567" w:hanging="207"/>
        <w:rPr>
          <w:rFonts w:asciiTheme="majorHAnsi" w:hAnsiTheme="majorHAnsi"/>
        </w:rPr>
      </w:pPr>
      <w:r w:rsidRPr="0074396B">
        <w:rPr>
          <w:rFonts w:asciiTheme="majorHAnsi" w:hAnsiTheme="majorHAnsi"/>
        </w:rPr>
        <w:t>Διοργάνωση ημερίδων-σεμιναρίων σε θέματα αξιολόγησης (μέθοδοι &amp; εργαλεία)</w:t>
      </w:r>
    </w:p>
    <w:p w:rsidR="004223BE" w:rsidRDefault="004223BE">
      <w:pPr>
        <w:spacing w:before="0" w:after="200" w:line="276" w:lineRule="auto"/>
        <w:jc w:val="left"/>
        <w:rPr>
          <w:rFonts w:asciiTheme="majorHAnsi" w:hAnsiTheme="majorHAnsi"/>
        </w:rPr>
      </w:pPr>
      <w:r>
        <w:rPr>
          <w:rFonts w:asciiTheme="majorHAnsi" w:hAnsiTheme="majorHAnsi"/>
        </w:rPr>
        <w:br w:type="page"/>
      </w:r>
    </w:p>
    <w:p w:rsidR="004223BE" w:rsidRPr="00094D63" w:rsidRDefault="004223BE" w:rsidP="004223BE">
      <w:pPr>
        <w:rPr>
          <w:rFonts w:asciiTheme="minorHAnsi" w:hAnsiTheme="minorHAnsi"/>
          <w:szCs w:val="24"/>
        </w:rPr>
      </w:pPr>
      <w:r w:rsidRPr="00094D63">
        <w:rPr>
          <w:rFonts w:asciiTheme="minorHAnsi" w:hAnsiTheme="minorHAnsi"/>
          <w:b/>
          <w:szCs w:val="24"/>
        </w:rPr>
        <w:lastRenderedPageBreak/>
        <w:t>ΠΑΡΑΡΤΗΜΑ:</w:t>
      </w:r>
      <w:r w:rsidRPr="00094D63">
        <w:rPr>
          <w:rFonts w:asciiTheme="minorHAnsi" w:hAnsiTheme="minorHAnsi"/>
          <w:szCs w:val="24"/>
        </w:rPr>
        <w:t xml:space="preserve"> Το χρονοδιάγραμμα που ακολουθεί αποτυπώνει τα χρονικά ορόσημα που θα πρέπει να ληφθούν υπόψη κατά τη συγγραφή των σχεδίων αξιολόγησης και τον χρονοπρογραμματισμό των αξιολογήσεων από τις ΔΑ:</w:t>
      </w:r>
    </w:p>
    <w:p w:rsidR="004223BE" w:rsidRPr="00261C7A" w:rsidRDefault="004223BE" w:rsidP="004223BE">
      <w:pPr>
        <w:autoSpaceDE w:val="0"/>
        <w:autoSpaceDN w:val="0"/>
        <w:adjustRightInd w:val="0"/>
        <w:spacing w:before="0"/>
        <w:jc w:val="left"/>
        <w:rPr>
          <w:rFonts w:asciiTheme="minorHAnsi" w:hAnsiTheme="minorHAnsi"/>
          <w:szCs w:val="20"/>
        </w:rPr>
      </w:pPr>
    </w:p>
    <w:tbl>
      <w:tblPr>
        <w:tblW w:w="8698" w:type="dxa"/>
        <w:tblInd w:w="-176" w:type="dxa"/>
        <w:tblLayout w:type="fixed"/>
        <w:tblLook w:val="04A0" w:firstRow="1" w:lastRow="0" w:firstColumn="1" w:lastColumn="0" w:noHBand="0" w:noVBand="1"/>
      </w:tblPr>
      <w:tblGrid>
        <w:gridCol w:w="1154"/>
        <w:gridCol w:w="628"/>
        <w:gridCol w:w="629"/>
        <w:gridCol w:w="629"/>
        <w:gridCol w:w="628"/>
        <w:gridCol w:w="629"/>
        <w:gridCol w:w="629"/>
        <w:gridCol w:w="628"/>
        <w:gridCol w:w="629"/>
        <w:gridCol w:w="629"/>
        <w:gridCol w:w="628"/>
        <w:gridCol w:w="629"/>
        <w:gridCol w:w="629"/>
      </w:tblGrid>
      <w:tr w:rsidR="004223BE" w:rsidRPr="007224E8" w:rsidTr="00CE03B9">
        <w:trPr>
          <w:trHeight w:val="300"/>
        </w:trPr>
        <w:tc>
          <w:tcPr>
            <w:tcW w:w="1154" w:type="dxa"/>
            <w:tcBorders>
              <w:top w:val="single" w:sz="4" w:space="0" w:color="auto"/>
              <w:left w:val="nil"/>
              <w:bottom w:val="single" w:sz="4" w:space="0" w:color="auto"/>
              <w:right w:val="nil"/>
            </w:tcBorders>
            <w:shd w:val="clear" w:color="auto" w:fill="auto"/>
            <w:noWrap/>
            <w:vAlign w:val="center"/>
            <w:hideMark/>
          </w:tcPr>
          <w:p w:rsidR="004223BE" w:rsidRPr="00261C7A" w:rsidRDefault="004223BE" w:rsidP="00CE03B9">
            <w:pPr>
              <w:spacing w:before="0"/>
              <w:jc w:val="left"/>
              <w:rPr>
                <w:rFonts w:asciiTheme="minorHAnsi" w:hAnsiTheme="minorHAnsi"/>
                <w:b/>
                <w:bCs/>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b/>
                <w:bCs/>
                <w:color w:val="000000"/>
                <w:sz w:val="16"/>
                <w:szCs w:val="16"/>
              </w:rPr>
            </w:pPr>
            <w:r w:rsidRPr="004C5D63">
              <w:rPr>
                <w:rFonts w:asciiTheme="minorHAnsi" w:hAnsiTheme="minorHAnsi"/>
                <w:b/>
                <w:bCs/>
                <w:color w:val="000000"/>
                <w:sz w:val="16"/>
                <w:szCs w:val="16"/>
              </w:rPr>
              <w:t>2014</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b/>
                <w:bCs/>
                <w:color w:val="000000"/>
                <w:sz w:val="16"/>
                <w:szCs w:val="16"/>
              </w:rPr>
            </w:pPr>
            <w:r w:rsidRPr="004C5D63">
              <w:rPr>
                <w:rFonts w:asciiTheme="minorHAnsi" w:hAnsiTheme="minorHAnsi"/>
                <w:b/>
                <w:bCs/>
                <w:color w:val="000000"/>
                <w:sz w:val="16"/>
                <w:szCs w:val="16"/>
              </w:rPr>
              <w:t>2015</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b/>
                <w:bCs/>
                <w:color w:val="000000"/>
                <w:sz w:val="16"/>
                <w:szCs w:val="16"/>
              </w:rPr>
            </w:pPr>
            <w:r w:rsidRPr="004C5D63">
              <w:rPr>
                <w:rFonts w:asciiTheme="minorHAnsi" w:hAnsiTheme="minorHAnsi"/>
                <w:b/>
                <w:bCs/>
                <w:color w:val="000000"/>
                <w:sz w:val="16"/>
                <w:szCs w:val="16"/>
              </w:rPr>
              <w:t>2016</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b/>
                <w:bCs/>
                <w:color w:val="000000"/>
                <w:sz w:val="16"/>
                <w:szCs w:val="16"/>
              </w:rPr>
            </w:pPr>
            <w:r w:rsidRPr="004C5D63">
              <w:rPr>
                <w:rFonts w:asciiTheme="minorHAnsi" w:hAnsiTheme="minorHAnsi"/>
                <w:b/>
                <w:bCs/>
                <w:color w:val="000000"/>
                <w:sz w:val="16"/>
                <w:szCs w:val="16"/>
              </w:rPr>
              <w:t>2017</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b/>
                <w:bCs/>
                <w:color w:val="000000"/>
                <w:sz w:val="16"/>
                <w:szCs w:val="16"/>
              </w:rPr>
            </w:pPr>
            <w:r w:rsidRPr="004C5D63">
              <w:rPr>
                <w:rFonts w:asciiTheme="minorHAnsi" w:hAnsiTheme="minorHAnsi"/>
                <w:b/>
                <w:bCs/>
                <w:color w:val="000000"/>
                <w:sz w:val="16"/>
                <w:szCs w:val="16"/>
              </w:rPr>
              <w:t>2018</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b/>
                <w:bCs/>
                <w:color w:val="000000"/>
                <w:sz w:val="16"/>
                <w:szCs w:val="16"/>
              </w:rPr>
            </w:pPr>
            <w:r w:rsidRPr="004C5D63">
              <w:rPr>
                <w:rFonts w:asciiTheme="minorHAnsi" w:hAnsiTheme="minorHAnsi"/>
                <w:b/>
                <w:bCs/>
                <w:color w:val="000000"/>
                <w:sz w:val="16"/>
                <w:szCs w:val="16"/>
              </w:rPr>
              <w:t>2019</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b/>
                <w:bCs/>
                <w:color w:val="000000"/>
                <w:sz w:val="16"/>
                <w:szCs w:val="16"/>
              </w:rPr>
            </w:pPr>
            <w:r w:rsidRPr="004C5D63">
              <w:rPr>
                <w:rFonts w:asciiTheme="minorHAnsi" w:hAnsiTheme="minorHAnsi"/>
                <w:b/>
                <w:bCs/>
                <w:color w:val="000000"/>
                <w:sz w:val="16"/>
                <w:szCs w:val="16"/>
              </w:rPr>
              <w:t>2020</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b/>
                <w:bCs/>
                <w:color w:val="000000"/>
                <w:sz w:val="16"/>
                <w:szCs w:val="16"/>
              </w:rPr>
            </w:pPr>
            <w:r w:rsidRPr="004C5D63">
              <w:rPr>
                <w:rFonts w:asciiTheme="minorHAnsi" w:hAnsiTheme="minorHAnsi"/>
                <w:b/>
                <w:bCs/>
                <w:color w:val="000000"/>
                <w:sz w:val="16"/>
                <w:szCs w:val="16"/>
              </w:rPr>
              <w:t>2021</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b/>
                <w:bCs/>
                <w:color w:val="000000"/>
                <w:sz w:val="16"/>
                <w:szCs w:val="16"/>
              </w:rPr>
            </w:pPr>
            <w:r w:rsidRPr="004C5D63">
              <w:rPr>
                <w:rFonts w:asciiTheme="minorHAnsi" w:hAnsiTheme="minorHAnsi"/>
                <w:b/>
                <w:bCs/>
                <w:color w:val="000000"/>
                <w:sz w:val="16"/>
                <w:szCs w:val="16"/>
              </w:rPr>
              <w:t>2022</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b/>
                <w:bCs/>
                <w:color w:val="000000"/>
                <w:sz w:val="16"/>
                <w:szCs w:val="16"/>
              </w:rPr>
            </w:pPr>
            <w:r w:rsidRPr="004C5D63">
              <w:rPr>
                <w:rFonts w:asciiTheme="minorHAnsi" w:hAnsiTheme="minorHAnsi"/>
                <w:b/>
                <w:bCs/>
                <w:color w:val="000000"/>
                <w:sz w:val="16"/>
                <w:szCs w:val="16"/>
              </w:rPr>
              <w:t>2023</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b/>
                <w:bCs/>
                <w:color w:val="000000"/>
                <w:sz w:val="16"/>
                <w:szCs w:val="16"/>
              </w:rPr>
            </w:pPr>
            <w:r w:rsidRPr="004C5D63">
              <w:rPr>
                <w:rFonts w:asciiTheme="minorHAnsi" w:hAnsiTheme="minorHAnsi"/>
                <w:b/>
                <w:bCs/>
                <w:color w:val="000000"/>
                <w:sz w:val="16"/>
                <w:szCs w:val="16"/>
              </w:rPr>
              <w:t>2024</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b/>
                <w:bCs/>
                <w:color w:val="000000"/>
                <w:sz w:val="16"/>
                <w:szCs w:val="16"/>
              </w:rPr>
            </w:pPr>
            <w:r w:rsidRPr="004C5D63">
              <w:rPr>
                <w:rFonts w:asciiTheme="minorHAnsi" w:hAnsiTheme="minorHAnsi"/>
                <w:b/>
                <w:bCs/>
                <w:color w:val="000000"/>
                <w:sz w:val="16"/>
                <w:szCs w:val="16"/>
              </w:rPr>
              <w:t>2025</w:t>
            </w:r>
          </w:p>
        </w:tc>
      </w:tr>
      <w:tr w:rsidR="004223BE" w:rsidRPr="007224E8" w:rsidTr="00CE03B9">
        <w:trPr>
          <w:trHeight w:val="300"/>
        </w:trPr>
        <w:tc>
          <w:tcPr>
            <w:tcW w:w="1154" w:type="dxa"/>
            <w:tcBorders>
              <w:top w:val="single" w:sz="4" w:space="0" w:color="auto"/>
              <w:left w:val="nil"/>
              <w:bottom w:val="single" w:sz="4" w:space="0" w:color="auto"/>
              <w:right w:val="nil"/>
            </w:tcBorders>
            <w:shd w:val="clear" w:color="auto" w:fill="auto"/>
            <w:noWrap/>
            <w:vAlign w:val="center"/>
            <w:hideMark/>
          </w:tcPr>
          <w:p w:rsidR="004223BE" w:rsidRPr="00261C7A" w:rsidRDefault="004223BE" w:rsidP="00CE03B9">
            <w:pPr>
              <w:spacing w:before="0"/>
              <w:jc w:val="left"/>
              <w:rPr>
                <w:rFonts w:asciiTheme="minorHAnsi" w:hAnsiTheme="minorHAnsi"/>
                <w:b/>
                <w:color w:val="000000"/>
                <w:sz w:val="16"/>
                <w:szCs w:val="16"/>
              </w:rPr>
            </w:pPr>
            <w:r w:rsidRPr="00261C7A">
              <w:rPr>
                <w:rFonts w:asciiTheme="minorHAnsi" w:hAnsiTheme="minorHAnsi"/>
                <w:b/>
                <w:color w:val="000000"/>
                <w:sz w:val="16"/>
                <w:szCs w:val="16"/>
              </w:rPr>
              <w:t>Εκ των προτέρων αξιολόγηση</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r w:rsidRPr="004C5D63">
              <w:rPr>
                <w:rFonts w:asciiTheme="minorHAnsi" w:hAnsiTheme="minorHAnsi"/>
                <w:color w:val="000000"/>
                <w:sz w:val="16"/>
                <w:szCs w:val="16"/>
              </w:rPr>
              <w:t>ΠΕΠ &amp; ΤΕΠ</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r w:rsidRPr="004223BE">
              <w:rPr>
                <w:rFonts w:asciiTheme="minorHAnsi" w:hAnsiTheme="minorHAnsi"/>
                <w:color w:val="000000"/>
                <w:sz w:val="16"/>
                <w:szCs w:val="16"/>
              </w:rPr>
              <w:t>ΕΕΣ</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r>
      <w:tr w:rsidR="004223BE" w:rsidRPr="007224E8" w:rsidTr="00CE03B9">
        <w:trPr>
          <w:trHeight w:val="300"/>
        </w:trPr>
        <w:tc>
          <w:tcPr>
            <w:tcW w:w="1154" w:type="dxa"/>
            <w:tcBorders>
              <w:top w:val="single" w:sz="4" w:space="0" w:color="auto"/>
              <w:left w:val="nil"/>
              <w:bottom w:val="single" w:sz="4" w:space="0" w:color="auto"/>
              <w:right w:val="nil"/>
            </w:tcBorders>
            <w:shd w:val="clear" w:color="auto" w:fill="auto"/>
            <w:noWrap/>
            <w:vAlign w:val="center"/>
            <w:hideMark/>
          </w:tcPr>
          <w:p w:rsidR="004223BE" w:rsidRPr="00261C7A" w:rsidRDefault="004223BE" w:rsidP="00CE03B9">
            <w:pPr>
              <w:spacing w:before="0"/>
              <w:jc w:val="left"/>
              <w:rPr>
                <w:rFonts w:asciiTheme="minorHAnsi" w:hAnsiTheme="minorHAnsi"/>
                <w:b/>
                <w:color w:val="000000"/>
                <w:sz w:val="16"/>
                <w:szCs w:val="16"/>
              </w:rPr>
            </w:pPr>
            <w:r>
              <w:rPr>
                <w:rFonts w:asciiTheme="minorHAnsi" w:hAnsiTheme="minorHAnsi"/>
                <w:b/>
                <w:color w:val="000000"/>
                <w:sz w:val="16"/>
                <w:szCs w:val="16"/>
              </w:rPr>
              <w:t>Σχέδιο</w:t>
            </w:r>
            <w:r w:rsidRPr="00261C7A">
              <w:rPr>
                <w:rFonts w:asciiTheme="minorHAnsi" w:hAnsiTheme="minorHAnsi"/>
                <w:b/>
                <w:color w:val="000000"/>
                <w:sz w:val="16"/>
                <w:szCs w:val="16"/>
              </w:rPr>
              <w:t xml:space="preserve"> Αξιολόγησης</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r w:rsidRPr="004223BE">
              <w:rPr>
                <w:rFonts w:asciiTheme="minorHAnsi" w:hAnsiTheme="minorHAnsi"/>
                <w:color w:val="000000"/>
                <w:sz w:val="16"/>
                <w:szCs w:val="16"/>
              </w:rPr>
              <w:t>ΠΕΠ &amp; ΤΕΠ</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r w:rsidRPr="004223BE">
              <w:rPr>
                <w:rFonts w:asciiTheme="minorHAnsi" w:hAnsiTheme="minorHAnsi"/>
                <w:color w:val="000000"/>
                <w:sz w:val="16"/>
                <w:szCs w:val="16"/>
              </w:rPr>
              <w:t>ΕΕΣ</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r>
      <w:tr w:rsidR="004223BE" w:rsidRPr="007224E8" w:rsidTr="00CE03B9">
        <w:trPr>
          <w:trHeight w:val="300"/>
        </w:trPr>
        <w:tc>
          <w:tcPr>
            <w:tcW w:w="1154" w:type="dxa"/>
            <w:tcBorders>
              <w:top w:val="single" w:sz="4" w:space="0" w:color="auto"/>
              <w:left w:val="nil"/>
              <w:bottom w:val="single" w:sz="4" w:space="0" w:color="auto"/>
              <w:right w:val="nil"/>
            </w:tcBorders>
            <w:shd w:val="clear" w:color="auto" w:fill="auto"/>
            <w:noWrap/>
            <w:vAlign w:val="center"/>
            <w:hideMark/>
          </w:tcPr>
          <w:p w:rsidR="004223BE" w:rsidRPr="00261C7A" w:rsidRDefault="004223BE" w:rsidP="00CE03B9">
            <w:pPr>
              <w:spacing w:before="0"/>
              <w:jc w:val="left"/>
              <w:rPr>
                <w:rFonts w:asciiTheme="minorHAnsi" w:hAnsiTheme="minorHAnsi"/>
                <w:b/>
                <w:color w:val="000000"/>
                <w:sz w:val="16"/>
                <w:szCs w:val="16"/>
              </w:rPr>
            </w:pPr>
            <w:r w:rsidRPr="00261C7A">
              <w:rPr>
                <w:rFonts w:asciiTheme="minorHAnsi" w:hAnsiTheme="minorHAnsi"/>
                <w:b/>
                <w:color w:val="000000"/>
                <w:sz w:val="16"/>
                <w:szCs w:val="16"/>
              </w:rPr>
              <w:t>Ετήσια Έκθεση Υλοποίησης</w:t>
            </w:r>
            <w:r w:rsidRPr="00094D63">
              <w:rPr>
                <w:rFonts w:asciiTheme="minorHAnsi" w:hAnsiTheme="minorHAnsi"/>
                <w:b/>
                <w:color w:val="000000"/>
                <w:sz w:val="10"/>
                <w:szCs w:val="10"/>
                <w:vertAlign w:val="superscript"/>
              </w:rPr>
              <w:t>(1)</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r w:rsidRPr="004223BE">
              <w:rPr>
                <w:rFonts w:asciiTheme="minorHAnsi" w:hAnsiTheme="minorHAnsi"/>
                <w:color w:val="000000"/>
                <w:sz w:val="16"/>
                <w:szCs w:val="16"/>
              </w:rPr>
              <w:t>30.04 (ΠΑΝ)</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r w:rsidRPr="004223BE">
              <w:rPr>
                <w:rFonts w:asciiTheme="minorHAnsi" w:hAnsiTheme="minorHAnsi"/>
                <w:color w:val="000000"/>
                <w:sz w:val="16"/>
                <w:szCs w:val="16"/>
              </w:rPr>
              <w:t>31.05</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bCs/>
                <w:color w:val="000000"/>
                <w:sz w:val="16"/>
                <w:szCs w:val="16"/>
              </w:rPr>
            </w:pPr>
            <w:r w:rsidRPr="004223BE">
              <w:rPr>
                <w:rFonts w:asciiTheme="minorHAnsi" w:hAnsiTheme="minorHAnsi"/>
                <w:bCs/>
                <w:color w:val="000000"/>
                <w:sz w:val="16"/>
                <w:szCs w:val="16"/>
              </w:rPr>
              <w:t>30.06</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r w:rsidRPr="004223BE">
              <w:rPr>
                <w:rFonts w:asciiTheme="minorHAnsi" w:hAnsiTheme="minorHAnsi"/>
                <w:color w:val="000000"/>
                <w:sz w:val="16"/>
                <w:szCs w:val="16"/>
              </w:rPr>
              <w:t>31.05</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F82639" w:rsidRDefault="004223BE" w:rsidP="00CE03B9">
            <w:pPr>
              <w:spacing w:before="0"/>
              <w:jc w:val="center"/>
              <w:rPr>
                <w:rFonts w:asciiTheme="minorHAnsi" w:hAnsiTheme="minorHAnsi"/>
                <w:bCs/>
                <w:color w:val="000000"/>
                <w:sz w:val="16"/>
                <w:szCs w:val="16"/>
              </w:rPr>
            </w:pPr>
            <w:r w:rsidRPr="00F82639">
              <w:rPr>
                <w:rFonts w:asciiTheme="minorHAnsi" w:hAnsiTheme="minorHAnsi"/>
                <w:bCs/>
                <w:color w:val="000000"/>
                <w:sz w:val="16"/>
                <w:szCs w:val="16"/>
              </w:rPr>
              <w:t>30.06</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r w:rsidRPr="004C5D63">
              <w:rPr>
                <w:rFonts w:asciiTheme="minorHAnsi" w:hAnsiTheme="minorHAnsi"/>
                <w:color w:val="000000"/>
                <w:sz w:val="16"/>
                <w:szCs w:val="16"/>
              </w:rPr>
              <w:t>31.05</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r w:rsidRPr="004C5D63">
              <w:rPr>
                <w:rFonts w:asciiTheme="minorHAnsi" w:hAnsiTheme="minorHAnsi"/>
                <w:color w:val="000000"/>
                <w:sz w:val="16"/>
                <w:szCs w:val="16"/>
              </w:rPr>
              <w:t>31.05</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r w:rsidRPr="004C5D63">
              <w:rPr>
                <w:rFonts w:asciiTheme="minorHAnsi" w:hAnsiTheme="minorHAnsi"/>
                <w:color w:val="000000"/>
                <w:sz w:val="16"/>
                <w:szCs w:val="16"/>
              </w:rPr>
              <w:t>31.05</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r w:rsidRPr="004C5D63">
              <w:rPr>
                <w:rFonts w:asciiTheme="minorHAnsi" w:hAnsiTheme="minorHAnsi"/>
                <w:color w:val="000000"/>
                <w:sz w:val="16"/>
                <w:szCs w:val="16"/>
              </w:rPr>
              <w:t>31.05</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D63A82" w:rsidRDefault="004223BE" w:rsidP="00CE03B9">
            <w:pPr>
              <w:spacing w:before="0"/>
              <w:jc w:val="center"/>
              <w:rPr>
                <w:rFonts w:asciiTheme="minorHAnsi" w:hAnsiTheme="minorHAnsi"/>
                <w:color w:val="000000"/>
                <w:sz w:val="16"/>
                <w:szCs w:val="16"/>
              </w:rPr>
            </w:pPr>
            <w:r>
              <w:rPr>
                <w:rFonts w:asciiTheme="minorHAnsi" w:hAnsiTheme="minorHAnsi"/>
                <w:color w:val="000000"/>
                <w:sz w:val="16"/>
                <w:szCs w:val="16"/>
                <w:lang w:val="en-US"/>
              </w:rPr>
              <w:t>30.06</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r>
      <w:tr w:rsidR="004223BE" w:rsidRPr="007224E8" w:rsidTr="00CE03B9">
        <w:trPr>
          <w:trHeight w:val="300"/>
        </w:trPr>
        <w:tc>
          <w:tcPr>
            <w:tcW w:w="1154" w:type="dxa"/>
            <w:tcBorders>
              <w:top w:val="single" w:sz="4" w:space="0" w:color="auto"/>
              <w:left w:val="nil"/>
              <w:bottom w:val="single" w:sz="4" w:space="0" w:color="auto"/>
              <w:right w:val="nil"/>
            </w:tcBorders>
            <w:shd w:val="clear" w:color="auto" w:fill="auto"/>
            <w:noWrap/>
            <w:vAlign w:val="center"/>
            <w:hideMark/>
          </w:tcPr>
          <w:p w:rsidR="004223BE" w:rsidRPr="00261C7A" w:rsidRDefault="004223BE" w:rsidP="00CE03B9">
            <w:pPr>
              <w:spacing w:before="0"/>
              <w:jc w:val="left"/>
              <w:rPr>
                <w:rFonts w:asciiTheme="minorHAnsi" w:hAnsiTheme="minorHAnsi"/>
                <w:b/>
                <w:color w:val="000000"/>
                <w:sz w:val="16"/>
                <w:szCs w:val="16"/>
              </w:rPr>
            </w:pPr>
            <w:r w:rsidRPr="00261C7A">
              <w:rPr>
                <w:rFonts w:asciiTheme="minorHAnsi" w:hAnsiTheme="minorHAnsi"/>
                <w:b/>
                <w:color w:val="000000"/>
                <w:sz w:val="16"/>
                <w:szCs w:val="16"/>
              </w:rPr>
              <w:t>Έκθεση προόδου</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r w:rsidRPr="004223BE">
              <w:rPr>
                <w:rFonts w:asciiTheme="minorHAnsi" w:hAnsiTheme="minorHAnsi"/>
                <w:color w:val="000000"/>
                <w:sz w:val="16"/>
                <w:szCs w:val="16"/>
              </w:rPr>
              <w:t>31.08</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r w:rsidRPr="004C5D63">
              <w:rPr>
                <w:rFonts w:asciiTheme="minorHAnsi" w:hAnsiTheme="minorHAnsi"/>
                <w:color w:val="000000"/>
                <w:sz w:val="16"/>
                <w:szCs w:val="16"/>
              </w:rPr>
              <w:t>31.08</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r>
      <w:tr w:rsidR="004223BE" w:rsidRPr="007224E8" w:rsidTr="00CE03B9">
        <w:trPr>
          <w:trHeight w:val="300"/>
        </w:trPr>
        <w:tc>
          <w:tcPr>
            <w:tcW w:w="1154" w:type="dxa"/>
            <w:tcBorders>
              <w:top w:val="single" w:sz="4" w:space="0" w:color="auto"/>
              <w:left w:val="nil"/>
              <w:bottom w:val="single" w:sz="4" w:space="0" w:color="auto"/>
              <w:right w:val="nil"/>
            </w:tcBorders>
            <w:shd w:val="clear" w:color="auto" w:fill="auto"/>
            <w:noWrap/>
            <w:vAlign w:val="center"/>
            <w:hideMark/>
          </w:tcPr>
          <w:p w:rsidR="004223BE" w:rsidRPr="00261C7A" w:rsidRDefault="004223BE" w:rsidP="00CE03B9">
            <w:pPr>
              <w:spacing w:before="0"/>
              <w:jc w:val="left"/>
              <w:rPr>
                <w:rFonts w:asciiTheme="minorHAnsi" w:hAnsiTheme="minorHAnsi"/>
                <w:b/>
                <w:color w:val="000000"/>
                <w:sz w:val="16"/>
                <w:szCs w:val="16"/>
              </w:rPr>
            </w:pPr>
            <w:r w:rsidRPr="00261C7A">
              <w:rPr>
                <w:rFonts w:asciiTheme="minorHAnsi" w:hAnsiTheme="minorHAnsi"/>
                <w:b/>
                <w:color w:val="000000"/>
                <w:sz w:val="16"/>
                <w:szCs w:val="16"/>
              </w:rPr>
              <w:t>Συνοπτική αναφορά αξιολόγησης</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r w:rsidRPr="004C5D63">
              <w:rPr>
                <w:rFonts w:asciiTheme="minorHAnsi" w:hAnsiTheme="minorHAnsi"/>
                <w:color w:val="000000"/>
                <w:sz w:val="16"/>
                <w:szCs w:val="16"/>
              </w:rPr>
              <w:t>31.12</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r>
      <w:tr w:rsidR="004223BE" w:rsidRPr="007224E8" w:rsidTr="00CE03B9">
        <w:trPr>
          <w:trHeight w:val="300"/>
        </w:trPr>
        <w:tc>
          <w:tcPr>
            <w:tcW w:w="1154" w:type="dxa"/>
            <w:tcBorders>
              <w:top w:val="single" w:sz="4" w:space="0" w:color="auto"/>
              <w:left w:val="nil"/>
              <w:bottom w:val="single" w:sz="12" w:space="0" w:color="auto"/>
              <w:right w:val="nil"/>
            </w:tcBorders>
            <w:shd w:val="clear" w:color="auto" w:fill="auto"/>
            <w:noWrap/>
            <w:vAlign w:val="center"/>
            <w:hideMark/>
          </w:tcPr>
          <w:p w:rsidR="004223BE" w:rsidRPr="00261C7A" w:rsidRDefault="004223BE" w:rsidP="00CE03B9">
            <w:pPr>
              <w:spacing w:before="0"/>
              <w:jc w:val="left"/>
              <w:rPr>
                <w:rFonts w:asciiTheme="minorHAnsi" w:hAnsiTheme="minorHAnsi"/>
                <w:b/>
                <w:color w:val="000000"/>
                <w:sz w:val="16"/>
                <w:szCs w:val="16"/>
              </w:rPr>
            </w:pPr>
            <w:r w:rsidRPr="00261C7A">
              <w:rPr>
                <w:rFonts w:asciiTheme="minorHAnsi" w:hAnsiTheme="minorHAnsi"/>
                <w:b/>
                <w:color w:val="000000"/>
                <w:sz w:val="16"/>
                <w:szCs w:val="16"/>
              </w:rPr>
              <w:t>Αξιολόγηση επιπτώσεων</w:t>
            </w:r>
            <w:r w:rsidRPr="00094D63">
              <w:rPr>
                <w:rFonts w:asciiTheme="minorHAnsi" w:hAnsiTheme="minorHAnsi"/>
                <w:b/>
                <w:color w:val="000000"/>
                <w:sz w:val="10"/>
                <w:szCs w:val="10"/>
                <w:vertAlign w:val="superscript"/>
              </w:rPr>
              <w:t>(2)</w:t>
            </w:r>
          </w:p>
        </w:tc>
        <w:tc>
          <w:tcPr>
            <w:tcW w:w="628" w:type="dxa"/>
            <w:tcBorders>
              <w:top w:val="single" w:sz="4"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12"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r w:rsidRPr="004223BE">
              <w:rPr>
                <w:rFonts w:asciiTheme="minorHAnsi" w:hAnsiTheme="minorHAnsi"/>
                <w:color w:val="000000"/>
                <w:sz w:val="16"/>
                <w:szCs w:val="16"/>
              </w:rPr>
              <w:t>31.12 (ΠΑΝ)</w:t>
            </w:r>
          </w:p>
        </w:tc>
        <w:tc>
          <w:tcPr>
            <w:tcW w:w="629" w:type="dxa"/>
            <w:tcBorders>
              <w:top w:val="single" w:sz="4" w:space="0" w:color="auto"/>
              <w:left w:val="nil"/>
              <w:bottom w:val="single" w:sz="12"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12"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12" w:space="0" w:color="auto"/>
              <w:right w:val="nil"/>
            </w:tcBorders>
            <w:shd w:val="clear" w:color="auto" w:fill="auto"/>
            <w:noWrap/>
            <w:vAlign w:val="center"/>
            <w:hideMark/>
          </w:tcPr>
          <w:p w:rsidR="004223BE" w:rsidRPr="004223BE" w:rsidRDefault="004223BE" w:rsidP="00CE03B9">
            <w:pPr>
              <w:spacing w:before="0"/>
              <w:jc w:val="center"/>
              <w:rPr>
                <w:rFonts w:asciiTheme="minorHAnsi" w:hAnsiTheme="minorHAnsi"/>
                <w:color w:val="000000"/>
                <w:sz w:val="16"/>
                <w:szCs w:val="16"/>
              </w:rPr>
            </w:pPr>
            <w:r w:rsidRPr="004223BE">
              <w:rPr>
                <w:rFonts w:asciiTheme="minorHAnsi" w:hAnsiTheme="minorHAnsi"/>
                <w:color w:val="000000"/>
                <w:sz w:val="16"/>
                <w:szCs w:val="16"/>
              </w:rPr>
              <w:t>31.12 (ΠΑΝ)</w:t>
            </w:r>
          </w:p>
        </w:tc>
        <w:tc>
          <w:tcPr>
            <w:tcW w:w="629" w:type="dxa"/>
            <w:tcBorders>
              <w:top w:val="single" w:sz="4"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r>
      <w:tr w:rsidR="004223BE" w:rsidRPr="007224E8" w:rsidTr="00CE03B9">
        <w:trPr>
          <w:trHeight w:val="300"/>
        </w:trPr>
        <w:tc>
          <w:tcPr>
            <w:tcW w:w="1154" w:type="dxa"/>
            <w:tcBorders>
              <w:top w:val="single" w:sz="12" w:space="0" w:color="auto"/>
              <w:left w:val="nil"/>
              <w:bottom w:val="single" w:sz="12" w:space="0" w:color="auto"/>
              <w:right w:val="nil"/>
            </w:tcBorders>
            <w:shd w:val="clear" w:color="auto" w:fill="auto"/>
            <w:noWrap/>
            <w:vAlign w:val="center"/>
            <w:hideMark/>
          </w:tcPr>
          <w:p w:rsidR="004223BE" w:rsidRPr="00261C7A" w:rsidRDefault="004223BE" w:rsidP="00CE03B9">
            <w:pPr>
              <w:spacing w:before="0"/>
              <w:jc w:val="left"/>
              <w:rPr>
                <w:rFonts w:asciiTheme="minorHAnsi" w:hAnsiTheme="minorHAnsi"/>
                <w:b/>
                <w:color w:val="000000"/>
                <w:sz w:val="16"/>
                <w:szCs w:val="16"/>
              </w:rPr>
            </w:pPr>
            <w:r w:rsidRPr="00261C7A">
              <w:rPr>
                <w:rFonts w:asciiTheme="minorHAnsi" w:hAnsiTheme="minorHAnsi"/>
                <w:b/>
                <w:color w:val="000000"/>
                <w:sz w:val="16"/>
                <w:szCs w:val="16"/>
              </w:rPr>
              <w:t>Εκ των υστέρων αξιολόγηση</w:t>
            </w:r>
            <w:r w:rsidRPr="00261C7A">
              <w:rPr>
                <w:rFonts w:asciiTheme="minorHAnsi" w:hAnsiTheme="minorHAnsi"/>
                <w:b/>
                <w:color w:val="000000"/>
                <w:sz w:val="16"/>
                <w:szCs w:val="16"/>
                <w:vertAlign w:val="superscript"/>
              </w:rPr>
              <w:t>(</w:t>
            </w:r>
            <w:r>
              <w:rPr>
                <w:rFonts w:asciiTheme="minorHAnsi" w:hAnsiTheme="minorHAnsi"/>
                <w:b/>
                <w:color w:val="000000"/>
                <w:sz w:val="16"/>
                <w:szCs w:val="16"/>
                <w:vertAlign w:val="superscript"/>
              </w:rPr>
              <w:t>3</w:t>
            </w:r>
            <w:r w:rsidRPr="00261C7A">
              <w:rPr>
                <w:rFonts w:asciiTheme="minorHAnsi" w:hAnsiTheme="minorHAnsi"/>
                <w:b/>
                <w:color w:val="000000"/>
                <w:sz w:val="16"/>
                <w:szCs w:val="16"/>
                <w:vertAlign w:val="superscript"/>
              </w:rPr>
              <w:t>)</w:t>
            </w:r>
          </w:p>
        </w:tc>
        <w:tc>
          <w:tcPr>
            <w:tcW w:w="628" w:type="dxa"/>
            <w:tcBorders>
              <w:top w:val="single" w:sz="12"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12"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12"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12"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12"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12"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12"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12"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12"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12"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12"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r w:rsidRPr="004C5D63">
              <w:rPr>
                <w:rFonts w:asciiTheme="minorHAnsi" w:hAnsiTheme="minorHAnsi"/>
                <w:color w:val="000000"/>
                <w:sz w:val="16"/>
                <w:szCs w:val="16"/>
              </w:rPr>
              <w:t>31.12</w:t>
            </w:r>
          </w:p>
        </w:tc>
        <w:tc>
          <w:tcPr>
            <w:tcW w:w="629" w:type="dxa"/>
            <w:tcBorders>
              <w:top w:val="single" w:sz="12" w:space="0" w:color="auto"/>
              <w:left w:val="nil"/>
              <w:bottom w:val="single" w:sz="12"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r>
      <w:tr w:rsidR="004223BE" w:rsidRPr="007224E8" w:rsidTr="00CE03B9">
        <w:trPr>
          <w:trHeight w:val="300"/>
        </w:trPr>
        <w:tc>
          <w:tcPr>
            <w:tcW w:w="1154" w:type="dxa"/>
            <w:tcBorders>
              <w:top w:val="single" w:sz="12" w:space="0" w:color="auto"/>
              <w:left w:val="nil"/>
              <w:bottom w:val="single" w:sz="4" w:space="0" w:color="auto"/>
              <w:right w:val="nil"/>
            </w:tcBorders>
            <w:shd w:val="clear" w:color="auto" w:fill="auto"/>
            <w:noWrap/>
            <w:vAlign w:val="center"/>
          </w:tcPr>
          <w:p w:rsidR="004223BE" w:rsidRPr="00261C7A" w:rsidRDefault="004223BE" w:rsidP="00CE03B9">
            <w:pPr>
              <w:spacing w:before="0"/>
              <w:jc w:val="left"/>
              <w:rPr>
                <w:rFonts w:asciiTheme="minorHAnsi" w:hAnsiTheme="minorHAnsi"/>
                <w:b/>
                <w:color w:val="000000"/>
                <w:sz w:val="16"/>
                <w:szCs w:val="16"/>
              </w:rPr>
            </w:pPr>
            <w:r w:rsidRPr="00261C7A">
              <w:rPr>
                <w:rFonts w:asciiTheme="minorHAnsi" w:hAnsiTheme="minorHAnsi"/>
                <w:b/>
                <w:color w:val="000000"/>
                <w:sz w:val="16"/>
                <w:szCs w:val="16"/>
              </w:rPr>
              <w:t>Συνοπτική έκθεση</w:t>
            </w:r>
            <w:r w:rsidRPr="00261C7A">
              <w:rPr>
                <w:rFonts w:asciiTheme="minorHAnsi" w:hAnsiTheme="minorHAnsi"/>
                <w:b/>
                <w:color w:val="000000"/>
                <w:sz w:val="16"/>
                <w:szCs w:val="16"/>
                <w:vertAlign w:val="superscript"/>
              </w:rPr>
              <w:t>(</w:t>
            </w:r>
            <w:r>
              <w:rPr>
                <w:rFonts w:asciiTheme="minorHAnsi" w:hAnsiTheme="minorHAnsi"/>
                <w:b/>
                <w:color w:val="000000"/>
                <w:sz w:val="16"/>
                <w:szCs w:val="16"/>
                <w:vertAlign w:val="superscript"/>
              </w:rPr>
              <w:t>4</w:t>
            </w:r>
            <w:r w:rsidRPr="00261C7A">
              <w:rPr>
                <w:rFonts w:asciiTheme="minorHAnsi" w:hAnsiTheme="minorHAnsi"/>
                <w:b/>
                <w:color w:val="000000"/>
                <w:sz w:val="16"/>
                <w:szCs w:val="16"/>
                <w:vertAlign w:val="superscript"/>
              </w:rPr>
              <w:t>)</w:t>
            </w:r>
          </w:p>
        </w:tc>
        <w:tc>
          <w:tcPr>
            <w:tcW w:w="628" w:type="dxa"/>
            <w:tcBorders>
              <w:top w:val="single" w:sz="12"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12"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12"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r>
              <w:rPr>
                <w:rFonts w:asciiTheme="minorHAnsi" w:hAnsiTheme="minorHAnsi"/>
                <w:color w:val="000000"/>
                <w:sz w:val="16"/>
                <w:szCs w:val="16"/>
              </w:rPr>
              <w:t>*</w:t>
            </w:r>
          </w:p>
        </w:tc>
        <w:tc>
          <w:tcPr>
            <w:tcW w:w="628" w:type="dxa"/>
            <w:tcBorders>
              <w:top w:val="single" w:sz="12" w:space="0" w:color="auto"/>
              <w:left w:val="nil"/>
              <w:bottom w:val="single" w:sz="4" w:space="0" w:color="auto"/>
              <w:right w:val="nil"/>
            </w:tcBorders>
            <w:shd w:val="clear" w:color="auto" w:fill="auto"/>
            <w:noWrap/>
            <w:vAlign w:val="center"/>
          </w:tcPr>
          <w:p w:rsidR="004223BE" w:rsidRDefault="004223BE" w:rsidP="00CE03B9">
            <w:pPr>
              <w:spacing w:before="0"/>
              <w:jc w:val="center"/>
              <w:rPr>
                <w:rFonts w:asciiTheme="minorHAnsi" w:hAnsiTheme="minorHAnsi"/>
                <w:color w:val="000000"/>
                <w:sz w:val="16"/>
                <w:szCs w:val="16"/>
              </w:rPr>
            </w:pPr>
            <w:r>
              <w:rPr>
                <w:rFonts w:asciiTheme="minorHAnsi" w:hAnsiTheme="minorHAnsi"/>
                <w:color w:val="000000"/>
                <w:sz w:val="16"/>
                <w:szCs w:val="16"/>
              </w:rPr>
              <w:t>*</w:t>
            </w:r>
          </w:p>
        </w:tc>
        <w:tc>
          <w:tcPr>
            <w:tcW w:w="629" w:type="dxa"/>
            <w:tcBorders>
              <w:top w:val="single" w:sz="12"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r>
              <w:rPr>
                <w:rFonts w:asciiTheme="minorHAnsi" w:hAnsiTheme="minorHAnsi"/>
                <w:color w:val="000000"/>
                <w:sz w:val="16"/>
                <w:szCs w:val="16"/>
              </w:rPr>
              <w:t>*</w:t>
            </w:r>
          </w:p>
        </w:tc>
        <w:tc>
          <w:tcPr>
            <w:tcW w:w="629" w:type="dxa"/>
            <w:tcBorders>
              <w:top w:val="single" w:sz="12" w:space="0" w:color="auto"/>
              <w:left w:val="nil"/>
              <w:bottom w:val="single" w:sz="4" w:space="0" w:color="auto"/>
              <w:right w:val="nil"/>
            </w:tcBorders>
            <w:shd w:val="clear" w:color="auto" w:fill="auto"/>
            <w:noWrap/>
            <w:vAlign w:val="center"/>
          </w:tcPr>
          <w:p w:rsidR="004223BE" w:rsidRDefault="004223BE" w:rsidP="00CE03B9">
            <w:pPr>
              <w:spacing w:before="0"/>
              <w:jc w:val="center"/>
              <w:rPr>
                <w:rFonts w:asciiTheme="minorHAnsi" w:hAnsiTheme="minorHAnsi"/>
                <w:color w:val="000000"/>
                <w:sz w:val="16"/>
                <w:szCs w:val="16"/>
              </w:rPr>
            </w:pPr>
            <w:r>
              <w:rPr>
                <w:rFonts w:asciiTheme="minorHAnsi" w:hAnsiTheme="minorHAnsi"/>
                <w:color w:val="000000"/>
                <w:sz w:val="16"/>
                <w:szCs w:val="16"/>
              </w:rPr>
              <w:t>*</w:t>
            </w:r>
          </w:p>
        </w:tc>
        <w:tc>
          <w:tcPr>
            <w:tcW w:w="628" w:type="dxa"/>
            <w:tcBorders>
              <w:top w:val="single" w:sz="12"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r>
              <w:rPr>
                <w:rFonts w:asciiTheme="minorHAnsi" w:hAnsiTheme="minorHAnsi"/>
                <w:color w:val="000000"/>
                <w:sz w:val="16"/>
                <w:szCs w:val="16"/>
              </w:rPr>
              <w:t>*</w:t>
            </w:r>
          </w:p>
        </w:tc>
        <w:tc>
          <w:tcPr>
            <w:tcW w:w="629" w:type="dxa"/>
            <w:tcBorders>
              <w:top w:val="single" w:sz="12"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r>
              <w:rPr>
                <w:rFonts w:asciiTheme="minorHAnsi" w:hAnsiTheme="minorHAnsi"/>
                <w:color w:val="000000"/>
                <w:sz w:val="16"/>
                <w:szCs w:val="16"/>
              </w:rPr>
              <w:t>*</w:t>
            </w:r>
          </w:p>
        </w:tc>
        <w:tc>
          <w:tcPr>
            <w:tcW w:w="629" w:type="dxa"/>
            <w:tcBorders>
              <w:top w:val="single" w:sz="12"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r>
              <w:rPr>
                <w:rFonts w:asciiTheme="minorHAnsi" w:hAnsiTheme="minorHAnsi"/>
                <w:color w:val="000000"/>
                <w:sz w:val="16"/>
                <w:szCs w:val="16"/>
              </w:rPr>
              <w:t>*</w:t>
            </w:r>
          </w:p>
        </w:tc>
        <w:tc>
          <w:tcPr>
            <w:tcW w:w="628" w:type="dxa"/>
            <w:tcBorders>
              <w:top w:val="single" w:sz="12"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r>
              <w:rPr>
                <w:rFonts w:asciiTheme="minorHAnsi" w:hAnsiTheme="minorHAnsi"/>
                <w:color w:val="000000"/>
                <w:sz w:val="16"/>
                <w:szCs w:val="16"/>
              </w:rPr>
              <w:t>*</w:t>
            </w:r>
          </w:p>
        </w:tc>
        <w:tc>
          <w:tcPr>
            <w:tcW w:w="629" w:type="dxa"/>
            <w:tcBorders>
              <w:top w:val="single" w:sz="12"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12"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p>
        </w:tc>
      </w:tr>
      <w:tr w:rsidR="004223BE" w:rsidRPr="007224E8" w:rsidTr="00CE03B9">
        <w:trPr>
          <w:trHeight w:val="300"/>
        </w:trPr>
        <w:tc>
          <w:tcPr>
            <w:tcW w:w="1154" w:type="dxa"/>
            <w:tcBorders>
              <w:top w:val="single" w:sz="4" w:space="0" w:color="auto"/>
              <w:left w:val="nil"/>
              <w:bottom w:val="single" w:sz="4" w:space="0" w:color="auto"/>
              <w:right w:val="nil"/>
            </w:tcBorders>
            <w:shd w:val="clear" w:color="auto" w:fill="auto"/>
            <w:noWrap/>
            <w:vAlign w:val="center"/>
            <w:hideMark/>
          </w:tcPr>
          <w:p w:rsidR="004223BE" w:rsidRPr="00261C7A" w:rsidRDefault="004223BE" w:rsidP="00CE03B9">
            <w:pPr>
              <w:spacing w:before="0"/>
              <w:jc w:val="left"/>
              <w:rPr>
                <w:rFonts w:asciiTheme="minorHAnsi" w:hAnsiTheme="minorHAnsi"/>
                <w:b/>
                <w:color w:val="000000"/>
                <w:sz w:val="16"/>
                <w:szCs w:val="16"/>
              </w:rPr>
            </w:pPr>
            <w:r w:rsidRPr="00261C7A">
              <w:rPr>
                <w:rFonts w:asciiTheme="minorHAnsi" w:hAnsiTheme="minorHAnsi"/>
                <w:b/>
                <w:color w:val="000000"/>
                <w:sz w:val="16"/>
                <w:szCs w:val="16"/>
              </w:rPr>
              <w:t>Στρατηγική έκθεση</w:t>
            </w:r>
            <w:r w:rsidRPr="00261C7A">
              <w:rPr>
                <w:rFonts w:asciiTheme="minorHAnsi" w:hAnsiTheme="minorHAnsi"/>
                <w:b/>
                <w:color w:val="000000"/>
                <w:sz w:val="16"/>
                <w:szCs w:val="16"/>
                <w:vertAlign w:val="superscript"/>
              </w:rPr>
              <w:t>(</w:t>
            </w:r>
            <w:r>
              <w:rPr>
                <w:rFonts w:asciiTheme="minorHAnsi" w:hAnsiTheme="minorHAnsi"/>
                <w:b/>
                <w:color w:val="000000"/>
                <w:sz w:val="16"/>
                <w:szCs w:val="16"/>
                <w:vertAlign w:val="superscript"/>
              </w:rPr>
              <w:t>5</w:t>
            </w:r>
            <w:r w:rsidRPr="00261C7A">
              <w:rPr>
                <w:rFonts w:asciiTheme="minorHAnsi" w:hAnsiTheme="minorHAnsi"/>
                <w:b/>
                <w:color w:val="000000"/>
                <w:sz w:val="16"/>
                <w:szCs w:val="16"/>
                <w:vertAlign w:val="superscript"/>
              </w:rPr>
              <w:t>)</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r>
              <w:rPr>
                <w:rFonts w:asciiTheme="minorHAnsi" w:hAnsiTheme="minorHAnsi"/>
                <w:color w:val="000000"/>
                <w:sz w:val="16"/>
                <w:szCs w:val="16"/>
              </w:rPr>
              <w:t>31.12</w:t>
            </w: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r>
              <w:rPr>
                <w:rFonts w:asciiTheme="minorHAnsi" w:hAnsiTheme="minorHAnsi"/>
                <w:color w:val="000000"/>
                <w:sz w:val="16"/>
                <w:szCs w:val="16"/>
              </w:rPr>
              <w:t>31.12</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r>
      <w:tr w:rsidR="004223BE" w:rsidRPr="007224E8" w:rsidTr="00CE03B9">
        <w:trPr>
          <w:trHeight w:val="300"/>
        </w:trPr>
        <w:tc>
          <w:tcPr>
            <w:tcW w:w="1154" w:type="dxa"/>
            <w:tcBorders>
              <w:top w:val="single" w:sz="4" w:space="0" w:color="auto"/>
              <w:left w:val="nil"/>
              <w:bottom w:val="single" w:sz="4" w:space="0" w:color="auto"/>
              <w:right w:val="nil"/>
            </w:tcBorders>
            <w:shd w:val="clear" w:color="auto" w:fill="auto"/>
            <w:noWrap/>
            <w:vAlign w:val="center"/>
          </w:tcPr>
          <w:p w:rsidR="004223BE" w:rsidRPr="00261C7A" w:rsidRDefault="004223BE" w:rsidP="00CE03B9">
            <w:pPr>
              <w:spacing w:before="0"/>
              <w:jc w:val="left"/>
              <w:rPr>
                <w:rFonts w:asciiTheme="minorHAnsi" w:hAnsiTheme="minorHAnsi"/>
                <w:b/>
                <w:color w:val="000000"/>
                <w:sz w:val="16"/>
                <w:szCs w:val="16"/>
              </w:rPr>
            </w:pPr>
            <w:r w:rsidRPr="00261C7A">
              <w:rPr>
                <w:rFonts w:asciiTheme="minorHAnsi" w:hAnsiTheme="minorHAnsi"/>
                <w:b/>
                <w:sz w:val="16"/>
                <w:szCs w:val="16"/>
              </w:rPr>
              <w:t>Ετήσια έκθεση προόδου</w:t>
            </w:r>
            <w:r w:rsidRPr="00261C7A">
              <w:rPr>
                <w:rFonts w:asciiTheme="minorHAnsi" w:hAnsiTheme="minorHAnsi"/>
                <w:b/>
                <w:color w:val="000000"/>
                <w:sz w:val="16"/>
                <w:szCs w:val="16"/>
                <w:vertAlign w:val="superscript"/>
              </w:rPr>
              <w:t>(</w:t>
            </w:r>
            <w:r>
              <w:rPr>
                <w:rFonts w:asciiTheme="minorHAnsi" w:hAnsiTheme="minorHAnsi"/>
                <w:b/>
                <w:color w:val="000000"/>
                <w:sz w:val="16"/>
                <w:szCs w:val="16"/>
                <w:vertAlign w:val="superscript"/>
              </w:rPr>
              <w:t>6</w:t>
            </w:r>
            <w:r w:rsidRPr="00261C7A">
              <w:rPr>
                <w:rFonts w:asciiTheme="minorHAnsi" w:hAnsiTheme="minorHAnsi"/>
                <w:b/>
                <w:color w:val="000000"/>
                <w:sz w:val="16"/>
                <w:szCs w:val="16"/>
                <w:vertAlign w:val="superscript"/>
              </w:rPr>
              <w:t>)</w:t>
            </w:r>
          </w:p>
        </w:tc>
        <w:tc>
          <w:tcPr>
            <w:tcW w:w="628" w:type="dxa"/>
            <w:tcBorders>
              <w:top w:val="single" w:sz="4"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r>
              <w:rPr>
                <w:rFonts w:asciiTheme="minorHAnsi" w:hAnsiTheme="minorHAnsi"/>
                <w:color w:val="000000"/>
                <w:sz w:val="16"/>
                <w:szCs w:val="16"/>
              </w:rPr>
              <w:t>*</w:t>
            </w:r>
          </w:p>
        </w:tc>
        <w:tc>
          <w:tcPr>
            <w:tcW w:w="629" w:type="dxa"/>
            <w:tcBorders>
              <w:top w:val="single" w:sz="4"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r>
              <w:rPr>
                <w:rFonts w:asciiTheme="minorHAnsi" w:hAnsiTheme="minorHAnsi"/>
                <w:color w:val="000000"/>
                <w:sz w:val="16"/>
                <w:szCs w:val="16"/>
              </w:rPr>
              <w:t>*</w:t>
            </w:r>
          </w:p>
        </w:tc>
        <w:tc>
          <w:tcPr>
            <w:tcW w:w="629" w:type="dxa"/>
            <w:tcBorders>
              <w:top w:val="single" w:sz="4"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r>
              <w:rPr>
                <w:rFonts w:asciiTheme="minorHAnsi" w:hAnsiTheme="minorHAnsi"/>
                <w:color w:val="000000"/>
                <w:sz w:val="16"/>
                <w:szCs w:val="16"/>
              </w:rPr>
              <w:t>*</w:t>
            </w:r>
          </w:p>
        </w:tc>
        <w:tc>
          <w:tcPr>
            <w:tcW w:w="628" w:type="dxa"/>
            <w:tcBorders>
              <w:top w:val="single" w:sz="4"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tcPr>
          <w:p w:rsidR="004223BE" w:rsidRPr="004C5D63" w:rsidRDefault="004223BE" w:rsidP="00CE03B9">
            <w:pPr>
              <w:spacing w:before="0"/>
              <w:jc w:val="center"/>
              <w:rPr>
                <w:rFonts w:asciiTheme="minorHAnsi" w:hAnsiTheme="minorHAnsi"/>
                <w:color w:val="000000"/>
                <w:sz w:val="16"/>
                <w:szCs w:val="16"/>
              </w:rPr>
            </w:pPr>
          </w:p>
        </w:tc>
      </w:tr>
      <w:tr w:rsidR="004223BE" w:rsidRPr="007224E8" w:rsidTr="00CE03B9">
        <w:trPr>
          <w:trHeight w:val="300"/>
        </w:trPr>
        <w:tc>
          <w:tcPr>
            <w:tcW w:w="1154" w:type="dxa"/>
            <w:tcBorders>
              <w:top w:val="single" w:sz="4" w:space="0" w:color="auto"/>
              <w:left w:val="nil"/>
              <w:bottom w:val="single" w:sz="4" w:space="0" w:color="auto"/>
              <w:right w:val="nil"/>
            </w:tcBorders>
            <w:shd w:val="clear" w:color="auto" w:fill="auto"/>
            <w:noWrap/>
            <w:vAlign w:val="center"/>
            <w:hideMark/>
          </w:tcPr>
          <w:p w:rsidR="004223BE" w:rsidRPr="00261C7A" w:rsidRDefault="004223BE" w:rsidP="00CE03B9">
            <w:pPr>
              <w:spacing w:before="0"/>
              <w:jc w:val="left"/>
              <w:rPr>
                <w:rFonts w:asciiTheme="minorHAnsi" w:hAnsiTheme="minorHAnsi"/>
                <w:b/>
                <w:color w:val="000000"/>
                <w:sz w:val="16"/>
                <w:szCs w:val="16"/>
              </w:rPr>
            </w:pPr>
            <w:r w:rsidRPr="00261C7A">
              <w:rPr>
                <w:rFonts w:asciiTheme="minorHAnsi" w:hAnsiTheme="minorHAnsi"/>
                <w:b/>
                <w:color w:val="000000"/>
                <w:sz w:val="16"/>
                <w:szCs w:val="16"/>
              </w:rPr>
              <w:t>Έκθεση σύνθεσης</w:t>
            </w:r>
            <w:r w:rsidRPr="00261C7A">
              <w:rPr>
                <w:rFonts w:asciiTheme="minorHAnsi" w:hAnsiTheme="minorHAnsi"/>
                <w:b/>
                <w:color w:val="000000"/>
                <w:sz w:val="16"/>
                <w:szCs w:val="16"/>
                <w:vertAlign w:val="superscript"/>
              </w:rPr>
              <w:t>(</w:t>
            </w:r>
            <w:r>
              <w:rPr>
                <w:rFonts w:asciiTheme="minorHAnsi" w:hAnsiTheme="minorHAnsi"/>
                <w:b/>
                <w:color w:val="000000"/>
                <w:sz w:val="16"/>
                <w:szCs w:val="16"/>
                <w:vertAlign w:val="superscript"/>
              </w:rPr>
              <w:t>7</w:t>
            </w:r>
            <w:r w:rsidRPr="00261C7A">
              <w:rPr>
                <w:rFonts w:asciiTheme="minorHAnsi" w:hAnsiTheme="minorHAnsi"/>
                <w:b/>
                <w:color w:val="000000"/>
                <w:sz w:val="16"/>
                <w:szCs w:val="16"/>
                <w:vertAlign w:val="superscript"/>
              </w:rPr>
              <w:t>)</w:t>
            </w: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8"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p>
        </w:tc>
        <w:tc>
          <w:tcPr>
            <w:tcW w:w="629" w:type="dxa"/>
            <w:tcBorders>
              <w:top w:val="single" w:sz="4" w:space="0" w:color="auto"/>
              <w:left w:val="nil"/>
              <w:bottom w:val="single" w:sz="4" w:space="0" w:color="auto"/>
              <w:right w:val="nil"/>
            </w:tcBorders>
            <w:shd w:val="clear" w:color="auto" w:fill="auto"/>
            <w:noWrap/>
            <w:vAlign w:val="center"/>
            <w:hideMark/>
          </w:tcPr>
          <w:p w:rsidR="004223BE" w:rsidRPr="004C5D63" w:rsidRDefault="004223BE" w:rsidP="00CE03B9">
            <w:pPr>
              <w:spacing w:before="0"/>
              <w:jc w:val="center"/>
              <w:rPr>
                <w:rFonts w:asciiTheme="minorHAnsi" w:hAnsiTheme="minorHAnsi"/>
                <w:color w:val="000000"/>
                <w:sz w:val="16"/>
                <w:szCs w:val="16"/>
              </w:rPr>
            </w:pPr>
            <w:r w:rsidRPr="004C5D63">
              <w:rPr>
                <w:rFonts w:asciiTheme="minorHAnsi" w:hAnsiTheme="minorHAnsi"/>
                <w:color w:val="000000"/>
                <w:sz w:val="16"/>
                <w:szCs w:val="16"/>
              </w:rPr>
              <w:t>31.12</w:t>
            </w:r>
          </w:p>
        </w:tc>
      </w:tr>
    </w:tbl>
    <w:p w:rsidR="004223BE" w:rsidRPr="00094D63" w:rsidRDefault="004223BE" w:rsidP="004223BE">
      <w:pPr>
        <w:autoSpaceDE w:val="0"/>
        <w:autoSpaceDN w:val="0"/>
        <w:adjustRightInd w:val="0"/>
        <w:rPr>
          <w:rFonts w:asciiTheme="minorHAnsi" w:hAnsiTheme="minorHAnsi"/>
          <w:sz w:val="18"/>
          <w:szCs w:val="18"/>
        </w:rPr>
      </w:pPr>
      <w:r w:rsidRPr="00094D63">
        <w:rPr>
          <w:rFonts w:asciiTheme="minorHAnsi" w:hAnsiTheme="minorHAnsi"/>
          <w:sz w:val="18"/>
          <w:szCs w:val="18"/>
        </w:rPr>
        <w:t>(1) Από το 2016 και κάθε έτος μέχρι και το 2023, το κράτος μέλος υποβάλλει στην Επιτροπή ετήσια έκθεση υλοποίησης. Ειδικά για τ</w:t>
      </w:r>
      <w:r>
        <w:rPr>
          <w:rFonts w:asciiTheme="minorHAnsi" w:hAnsiTheme="minorHAnsi"/>
          <w:sz w:val="18"/>
          <w:szCs w:val="18"/>
        </w:rPr>
        <w:t>ην</w:t>
      </w:r>
      <w:r w:rsidRPr="00094D63">
        <w:rPr>
          <w:rFonts w:asciiTheme="minorHAnsi" w:hAnsiTheme="minorHAnsi"/>
          <w:sz w:val="18"/>
          <w:szCs w:val="18"/>
        </w:rPr>
        <w:t xml:space="preserve"> ΠΑΝ η πρώτη έκθεση υλοποίησης υποβάλλεται μέχρι το τέλος Απριλίου 2015.</w:t>
      </w:r>
    </w:p>
    <w:p w:rsidR="004223BE" w:rsidRPr="00094D63" w:rsidRDefault="004223BE" w:rsidP="004223BE">
      <w:pPr>
        <w:autoSpaceDE w:val="0"/>
        <w:autoSpaceDN w:val="0"/>
        <w:adjustRightInd w:val="0"/>
        <w:spacing w:before="0"/>
        <w:rPr>
          <w:rFonts w:asciiTheme="minorHAnsi" w:hAnsiTheme="minorHAnsi"/>
          <w:sz w:val="18"/>
          <w:szCs w:val="18"/>
        </w:rPr>
      </w:pPr>
      <w:r w:rsidRPr="00094D63">
        <w:rPr>
          <w:rFonts w:asciiTheme="minorHAnsi" w:hAnsiTheme="minorHAnsi"/>
          <w:sz w:val="18"/>
          <w:szCs w:val="18"/>
        </w:rPr>
        <w:t xml:space="preserve">(2) </w:t>
      </w:r>
      <w:r w:rsidRPr="0024016F">
        <w:rPr>
          <w:rFonts w:asciiTheme="minorHAnsi" w:hAnsiTheme="minorHAnsi"/>
          <w:b/>
          <w:sz w:val="18"/>
          <w:szCs w:val="18"/>
        </w:rPr>
        <w:t>Για τις δράσεις του ΕΤΠΑ και του ΤΣ, θα πρέπει να πρέπει να αξιολογηθεί ο τρόπος με τον οποίο τα ΕΔΕΤ συνέβαλαν στην επίτευξη των στόχων για κάθε άξονα προτεραιότητας, τουλάχιστον μία φορά κατά τη διάρκεια της περιόδου προγραμματισμού</w:t>
      </w:r>
      <w:r w:rsidRPr="00094D63">
        <w:rPr>
          <w:rFonts w:asciiTheme="minorHAnsi" w:hAnsiTheme="minorHAnsi"/>
          <w:sz w:val="18"/>
          <w:szCs w:val="18"/>
        </w:rPr>
        <w:t>.</w:t>
      </w:r>
    </w:p>
    <w:p w:rsidR="004223BE" w:rsidRPr="00094D63" w:rsidRDefault="004223BE" w:rsidP="004223BE">
      <w:pPr>
        <w:autoSpaceDE w:val="0"/>
        <w:autoSpaceDN w:val="0"/>
        <w:adjustRightInd w:val="0"/>
        <w:spacing w:before="0"/>
        <w:rPr>
          <w:rFonts w:asciiTheme="minorHAnsi" w:hAnsiTheme="minorHAnsi"/>
          <w:sz w:val="18"/>
          <w:szCs w:val="18"/>
        </w:rPr>
      </w:pPr>
      <w:r w:rsidRPr="00094D63">
        <w:rPr>
          <w:rFonts w:asciiTheme="minorHAnsi" w:hAnsiTheme="minorHAnsi"/>
          <w:sz w:val="18"/>
          <w:szCs w:val="18"/>
        </w:rPr>
        <w:t xml:space="preserve">(3) Οι εκ των υστέρων αξιολογήσεις διενεργούνται από την Επιτροπή ή από τα </w:t>
      </w:r>
      <w:r>
        <w:rPr>
          <w:rFonts w:asciiTheme="minorHAnsi" w:hAnsiTheme="minorHAnsi"/>
          <w:sz w:val="18"/>
          <w:szCs w:val="18"/>
        </w:rPr>
        <w:t>Κ</w:t>
      </w:r>
      <w:r w:rsidRPr="00094D63">
        <w:rPr>
          <w:rFonts w:asciiTheme="minorHAnsi" w:hAnsiTheme="minorHAnsi"/>
          <w:sz w:val="18"/>
          <w:szCs w:val="18"/>
        </w:rPr>
        <w:t xml:space="preserve">ράτη </w:t>
      </w:r>
      <w:r>
        <w:rPr>
          <w:rFonts w:asciiTheme="minorHAnsi" w:hAnsiTheme="minorHAnsi"/>
          <w:sz w:val="18"/>
          <w:szCs w:val="18"/>
        </w:rPr>
        <w:t>Μ</w:t>
      </w:r>
      <w:r w:rsidRPr="00094D63">
        <w:rPr>
          <w:rFonts w:asciiTheme="minorHAnsi" w:hAnsiTheme="minorHAnsi"/>
          <w:sz w:val="18"/>
          <w:szCs w:val="18"/>
        </w:rPr>
        <w:t xml:space="preserve">έλη σε στενή συνεργασία με την Επιτροπή. </w:t>
      </w:r>
    </w:p>
    <w:p w:rsidR="004223BE" w:rsidRPr="00094D63" w:rsidRDefault="004223BE" w:rsidP="004223BE">
      <w:pPr>
        <w:autoSpaceDE w:val="0"/>
        <w:autoSpaceDN w:val="0"/>
        <w:adjustRightInd w:val="0"/>
        <w:spacing w:before="0"/>
        <w:rPr>
          <w:rFonts w:asciiTheme="minorHAnsi" w:hAnsiTheme="minorHAnsi"/>
          <w:sz w:val="18"/>
          <w:szCs w:val="18"/>
        </w:rPr>
      </w:pPr>
      <w:r w:rsidRPr="00094D63">
        <w:rPr>
          <w:rFonts w:asciiTheme="minorHAnsi" w:hAnsiTheme="minorHAnsi"/>
          <w:sz w:val="18"/>
          <w:szCs w:val="18"/>
        </w:rPr>
        <w:t>(4) Η Επιτροπή διαβιβάζει στο Ευρωπαϊκό Κοινοβούλιο, το Συμβούλιο, την Ευρωπαϊκή Οικονομική και Κοινωνική Επιτροπή και την Επιτροπή των Περιφερειών, μια συνοπτική έκθεση σχετικά με τα προγράμματα των ΕΔΕΤ βάσει των ετήσιων εκθέσεων υλοποίησης των κρατών μελών, καθώς και μια έκθεση σύνθεσης των συμπερασμάτων των διαθέσιμων αξιολογήσεων προγραμμάτων.</w:t>
      </w:r>
    </w:p>
    <w:p w:rsidR="004223BE" w:rsidRPr="00094D63" w:rsidRDefault="004223BE" w:rsidP="004223BE">
      <w:pPr>
        <w:autoSpaceDE w:val="0"/>
        <w:autoSpaceDN w:val="0"/>
        <w:adjustRightInd w:val="0"/>
        <w:spacing w:before="0"/>
        <w:rPr>
          <w:rFonts w:asciiTheme="minorHAnsi" w:hAnsiTheme="minorHAnsi"/>
          <w:sz w:val="18"/>
          <w:szCs w:val="18"/>
        </w:rPr>
      </w:pPr>
      <w:r w:rsidRPr="00094D63">
        <w:rPr>
          <w:rFonts w:asciiTheme="minorHAnsi" w:hAnsiTheme="minorHAnsi"/>
          <w:sz w:val="18"/>
          <w:szCs w:val="18"/>
        </w:rPr>
        <w:t>(5) Η Επιτροπή συντάσσει στρατηγική έκθεση που συνοψίζει τις εκθέσεις προόδου των κρατών μελών, την οποία υποβάλλει, αντιστοίχως, στο Ευρωπαϊκό Κοινοβούλιο, το Συμβούλιο, την Ευρωπαϊκή Οικονομική και Κοινωνική Επιτροπή και την Επιτροπή των Περιφερειών και επί της οποίας θα κληθούν τα εν λόγω θεσμικά όργανα να συζητήσουν.</w:t>
      </w:r>
    </w:p>
    <w:p w:rsidR="004223BE" w:rsidRPr="00094D63" w:rsidRDefault="004223BE" w:rsidP="004223BE">
      <w:pPr>
        <w:autoSpaceDE w:val="0"/>
        <w:autoSpaceDN w:val="0"/>
        <w:adjustRightInd w:val="0"/>
        <w:spacing w:before="0"/>
        <w:rPr>
          <w:rFonts w:asciiTheme="minorHAnsi" w:hAnsiTheme="minorHAnsi"/>
          <w:sz w:val="18"/>
          <w:szCs w:val="18"/>
        </w:rPr>
      </w:pPr>
      <w:r w:rsidRPr="00094D63">
        <w:rPr>
          <w:rFonts w:asciiTheme="minorHAnsi" w:hAnsiTheme="minorHAnsi"/>
          <w:sz w:val="18"/>
          <w:szCs w:val="18"/>
        </w:rPr>
        <w:t>(6) Η Επιτροπή περιλαμβάνει στην ετήσια έκθεση προόδου της προς την εαρινή σύνοδο του Ευρωπαϊκού Συμβουλίου τμήμα που συνοψίζει τις πλέον πρόσφατες εκθέσεις των κρατών μελών, ιδίως όσον αφορά τη συμβολή των ΕΔΕΤ στην πρόοδο προς την επίτευξη της στρατηγικής της Ένωσης για μια έξυπνη, διατηρήσιμη και χωρίς αποκλεισμούς ανάπτυξη.</w:t>
      </w:r>
    </w:p>
    <w:p w:rsidR="004223BE" w:rsidRPr="003431FB" w:rsidRDefault="004223BE" w:rsidP="004223BE">
      <w:pPr>
        <w:autoSpaceDE w:val="0"/>
        <w:autoSpaceDN w:val="0"/>
        <w:adjustRightInd w:val="0"/>
        <w:spacing w:before="0"/>
        <w:rPr>
          <w:rFonts w:asciiTheme="minorHAnsi" w:hAnsiTheme="minorHAnsi" w:cs="EUAlbertina"/>
          <w:color w:val="000000"/>
          <w:szCs w:val="20"/>
        </w:rPr>
      </w:pPr>
      <w:r w:rsidRPr="00094D63">
        <w:rPr>
          <w:rFonts w:asciiTheme="minorHAnsi" w:hAnsiTheme="minorHAnsi"/>
          <w:sz w:val="18"/>
          <w:szCs w:val="18"/>
        </w:rPr>
        <w:t>(7) Η Επιτροπή καταρτίζει για καθένα από τα ΕΔΕΤ μια έκθεση σύνθεσης με τα βασικά συμπεράσματα των εκ των υστέρων αξιολογήσεων.</w:t>
      </w:r>
      <w:bookmarkStart w:id="0" w:name="_GoBack"/>
      <w:bookmarkEnd w:id="0"/>
    </w:p>
    <w:sectPr w:rsidR="004223BE" w:rsidRPr="003431FB" w:rsidSect="00B413D5">
      <w:footerReference w:type="default" r:id="rId9"/>
      <w:pgSz w:w="11906" w:h="16838"/>
      <w:pgMar w:top="1134" w:right="1797" w:bottom="1134"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32D" w:rsidRDefault="003F432D" w:rsidP="003E3046">
      <w:pPr>
        <w:spacing w:before="0" w:after="0"/>
      </w:pPr>
      <w:r>
        <w:separator/>
      </w:r>
    </w:p>
  </w:endnote>
  <w:endnote w:type="continuationSeparator" w:id="0">
    <w:p w:rsidR="003F432D" w:rsidRDefault="003F432D" w:rsidP="003E30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1691092"/>
      <w:docPartObj>
        <w:docPartGallery w:val="Page Numbers (Bottom of Page)"/>
        <w:docPartUnique/>
      </w:docPartObj>
    </w:sdtPr>
    <w:sdtEndPr>
      <w:rPr>
        <w:rFonts w:asciiTheme="majorHAnsi" w:hAnsiTheme="majorHAnsi"/>
      </w:rPr>
    </w:sdtEndPr>
    <w:sdtContent>
      <w:p w:rsidR="003E3046" w:rsidRPr="00CB41BE" w:rsidRDefault="003E3046">
        <w:pPr>
          <w:pStyle w:val="a5"/>
          <w:jc w:val="center"/>
          <w:rPr>
            <w:rFonts w:asciiTheme="majorHAnsi" w:hAnsiTheme="majorHAnsi"/>
          </w:rPr>
        </w:pPr>
        <w:r w:rsidRPr="00CB41BE">
          <w:rPr>
            <w:rFonts w:asciiTheme="majorHAnsi" w:hAnsiTheme="majorHAnsi"/>
          </w:rPr>
          <w:fldChar w:fldCharType="begin"/>
        </w:r>
        <w:r w:rsidRPr="00CB41BE">
          <w:rPr>
            <w:rFonts w:asciiTheme="majorHAnsi" w:hAnsiTheme="majorHAnsi"/>
          </w:rPr>
          <w:instrText>PAGE   \* MERGEFORMAT</w:instrText>
        </w:r>
        <w:r w:rsidRPr="00CB41BE">
          <w:rPr>
            <w:rFonts w:asciiTheme="majorHAnsi" w:hAnsiTheme="majorHAnsi"/>
          </w:rPr>
          <w:fldChar w:fldCharType="separate"/>
        </w:r>
        <w:r w:rsidR="004223BE">
          <w:rPr>
            <w:rFonts w:asciiTheme="majorHAnsi" w:hAnsiTheme="majorHAnsi"/>
            <w:noProof/>
          </w:rPr>
          <w:t>3</w:t>
        </w:r>
        <w:r w:rsidRPr="00CB41BE">
          <w:rPr>
            <w:rFonts w:asciiTheme="majorHAnsi" w:hAnsiTheme="majorHAnsi"/>
          </w:rPr>
          <w:fldChar w:fldCharType="end"/>
        </w:r>
      </w:p>
    </w:sdtContent>
  </w:sdt>
  <w:p w:rsidR="003E3046" w:rsidRDefault="003E304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32D" w:rsidRDefault="003F432D" w:rsidP="003E3046">
      <w:pPr>
        <w:spacing w:before="0" w:after="0"/>
      </w:pPr>
      <w:r>
        <w:separator/>
      </w:r>
    </w:p>
  </w:footnote>
  <w:footnote w:type="continuationSeparator" w:id="0">
    <w:p w:rsidR="003F432D" w:rsidRDefault="003F432D" w:rsidP="003E3046">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E3474"/>
    <w:multiLevelType w:val="hybridMultilevel"/>
    <w:tmpl w:val="FF7A9BB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
    <w:nsid w:val="0EBD251E"/>
    <w:multiLevelType w:val="hybridMultilevel"/>
    <w:tmpl w:val="5DB8EDC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17E01218"/>
    <w:multiLevelType w:val="hybridMultilevel"/>
    <w:tmpl w:val="441C3F3A"/>
    <w:lvl w:ilvl="0" w:tplc="9924AA32">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1684185"/>
    <w:multiLevelType w:val="hybridMultilevel"/>
    <w:tmpl w:val="857ED7B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
    <w:nsid w:val="2D677A53"/>
    <w:multiLevelType w:val="hybridMultilevel"/>
    <w:tmpl w:val="3606132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31391369"/>
    <w:multiLevelType w:val="hybridMultilevel"/>
    <w:tmpl w:val="C00C3B2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3FD4F68"/>
    <w:multiLevelType w:val="hybridMultilevel"/>
    <w:tmpl w:val="1B6E8E4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6C65397D"/>
    <w:multiLevelType w:val="hybridMultilevel"/>
    <w:tmpl w:val="50FA1F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8F22407"/>
    <w:multiLevelType w:val="hybridMultilevel"/>
    <w:tmpl w:val="C70E0D52"/>
    <w:lvl w:ilvl="0" w:tplc="577C8E5A">
      <w:numFmt w:val="bullet"/>
      <w:lvlText w:val="-"/>
      <w:lvlJc w:val="left"/>
      <w:pPr>
        <w:ind w:left="1080" w:hanging="720"/>
      </w:pPr>
      <w:rPr>
        <w:rFonts w:ascii="Cambria" w:eastAsiaTheme="minorHAnsi" w:hAnsi="Cambria"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5"/>
  </w:num>
  <w:num w:numId="5">
    <w:abstractNumId w:val="3"/>
  </w:num>
  <w:num w:numId="6">
    <w:abstractNumId w:val="1"/>
  </w:num>
  <w:num w:numId="7">
    <w:abstractNumId w:val="0"/>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856"/>
    <w:rsid w:val="00005C41"/>
    <w:rsid w:val="000165B0"/>
    <w:rsid w:val="00045737"/>
    <w:rsid w:val="00074C0E"/>
    <w:rsid w:val="00082972"/>
    <w:rsid w:val="000C4F53"/>
    <w:rsid w:val="000D4856"/>
    <w:rsid w:val="000E18D3"/>
    <w:rsid w:val="000F5D4A"/>
    <w:rsid w:val="001061AD"/>
    <w:rsid w:val="00107F59"/>
    <w:rsid w:val="00113399"/>
    <w:rsid w:val="00114CAC"/>
    <w:rsid w:val="00130005"/>
    <w:rsid w:val="001442D8"/>
    <w:rsid w:val="001820FD"/>
    <w:rsid w:val="00186521"/>
    <w:rsid w:val="00192CCC"/>
    <w:rsid w:val="001A3940"/>
    <w:rsid w:val="001A77B3"/>
    <w:rsid w:val="001B001C"/>
    <w:rsid w:val="001B2176"/>
    <w:rsid w:val="001C0135"/>
    <w:rsid w:val="001D41CA"/>
    <w:rsid w:val="001D5FAE"/>
    <w:rsid w:val="002042F8"/>
    <w:rsid w:val="0021241B"/>
    <w:rsid w:val="00223FC7"/>
    <w:rsid w:val="00233A34"/>
    <w:rsid w:val="002437BF"/>
    <w:rsid w:val="00243C2D"/>
    <w:rsid w:val="00250C32"/>
    <w:rsid w:val="00292BCB"/>
    <w:rsid w:val="002E1E92"/>
    <w:rsid w:val="002E31B5"/>
    <w:rsid w:val="002F33DB"/>
    <w:rsid w:val="0030009C"/>
    <w:rsid w:val="003119CC"/>
    <w:rsid w:val="0035093F"/>
    <w:rsid w:val="00363766"/>
    <w:rsid w:val="00366897"/>
    <w:rsid w:val="00372A8E"/>
    <w:rsid w:val="003B11A8"/>
    <w:rsid w:val="003C1E55"/>
    <w:rsid w:val="003C424A"/>
    <w:rsid w:val="003D1790"/>
    <w:rsid w:val="003D7D26"/>
    <w:rsid w:val="003E3046"/>
    <w:rsid w:val="003F1C21"/>
    <w:rsid w:val="003F432D"/>
    <w:rsid w:val="004016F9"/>
    <w:rsid w:val="004223BE"/>
    <w:rsid w:val="00431C00"/>
    <w:rsid w:val="00443066"/>
    <w:rsid w:val="00443F11"/>
    <w:rsid w:val="00471132"/>
    <w:rsid w:val="00473EB4"/>
    <w:rsid w:val="00484365"/>
    <w:rsid w:val="00495E57"/>
    <w:rsid w:val="004C251C"/>
    <w:rsid w:val="004C50ED"/>
    <w:rsid w:val="004E414C"/>
    <w:rsid w:val="004E418A"/>
    <w:rsid w:val="00507FB1"/>
    <w:rsid w:val="0051466D"/>
    <w:rsid w:val="0052526B"/>
    <w:rsid w:val="00565431"/>
    <w:rsid w:val="00571A49"/>
    <w:rsid w:val="00576500"/>
    <w:rsid w:val="00582EE6"/>
    <w:rsid w:val="005B3FB6"/>
    <w:rsid w:val="005D5C99"/>
    <w:rsid w:val="006064F2"/>
    <w:rsid w:val="00653C08"/>
    <w:rsid w:val="00654395"/>
    <w:rsid w:val="00656E2A"/>
    <w:rsid w:val="006570B0"/>
    <w:rsid w:val="00663C9E"/>
    <w:rsid w:val="00664EC7"/>
    <w:rsid w:val="0067230B"/>
    <w:rsid w:val="00690E51"/>
    <w:rsid w:val="006A0552"/>
    <w:rsid w:val="006A775A"/>
    <w:rsid w:val="006D6343"/>
    <w:rsid w:val="006F5F46"/>
    <w:rsid w:val="00723132"/>
    <w:rsid w:val="007338F5"/>
    <w:rsid w:val="0074396B"/>
    <w:rsid w:val="00770E08"/>
    <w:rsid w:val="007A35CD"/>
    <w:rsid w:val="007A398F"/>
    <w:rsid w:val="007A4BBE"/>
    <w:rsid w:val="007C07EF"/>
    <w:rsid w:val="007D42DE"/>
    <w:rsid w:val="008047D7"/>
    <w:rsid w:val="0081258D"/>
    <w:rsid w:val="00834B1F"/>
    <w:rsid w:val="00840105"/>
    <w:rsid w:val="00854448"/>
    <w:rsid w:val="00874064"/>
    <w:rsid w:val="00885D2B"/>
    <w:rsid w:val="008A0D77"/>
    <w:rsid w:val="008A5A8D"/>
    <w:rsid w:val="008B011C"/>
    <w:rsid w:val="008B265E"/>
    <w:rsid w:val="008C7C22"/>
    <w:rsid w:val="008F1745"/>
    <w:rsid w:val="008F1E98"/>
    <w:rsid w:val="008F785A"/>
    <w:rsid w:val="00904662"/>
    <w:rsid w:val="00911A85"/>
    <w:rsid w:val="00913DB0"/>
    <w:rsid w:val="0095679A"/>
    <w:rsid w:val="00957130"/>
    <w:rsid w:val="0098544A"/>
    <w:rsid w:val="0099045D"/>
    <w:rsid w:val="00997ECE"/>
    <w:rsid w:val="009A3C79"/>
    <w:rsid w:val="009A3F09"/>
    <w:rsid w:val="009A619D"/>
    <w:rsid w:val="009D1591"/>
    <w:rsid w:val="00A03CA2"/>
    <w:rsid w:val="00A2363E"/>
    <w:rsid w:val="00A243EC"/>
    <w:rsid w:val="00A631E3"/>
    <w:rsid w:val="00A66916"/>
    <w:rsid w:val="00A71983"/>
    <w:rsid w:val="00A75BEF"/>
    <w:rsid w:val="00A833FC"/>
    <w:rsid w:val="00A921D3"/>
    <w:rsid w:val="00AA61D0"/>
    <w:rsid w:val="00AA67A7"/>
    <w:rsid w:val="00AD4B0E"/>
    <w:rsid w:val="00AF4B70"/>
    <w:rsid w:val="00B076D3"/>
    <w:rsid w:val="00B1714B"/>
    <w:rsid w:val="00B20E32"/>
    <w:rsid w:val="00B413D5"/>
    <w:rsid w:val="00B431E3"/>
    <w:rsid w:val="00B51DB3"/>
    <w:rsid w:val="00B75722"/>
    <w:rsid w:val="00B85C47"/>
    <w:rsid w:val="00BA542A"/>
    <w:rsid w:val="00BD7891"/>
    <w:rsid w:val="00BE46E3"/>
    <w:rsid w:val="00BF01EA"/>
    <w:rsid w:val="00BF5647"/>
    <w:rsid w:val="00C00203"/>
    <w:rsid w:val="00C112EE"/>
    <w:rsid w:val="00C11625"/>
    <w:rsid w:val="00C21355"/>
    <w:rsid w:val="00C31BCC"/>
    <w:rsid w:val="00C43952"/>
    <w:rsid w:val="00C71C36"/>
    <w:rsid w:val="00C75B27"/>
    <w:rsid w:val="00C95C23"/>
    <w:rsid w:val="00CB41BE"/>
    <w:rsid w:val="00CC1F98"/>
    <w:rsid w:val="00CC4EB0"/>
    <w:rsid w:val="00CD6370"/>
    <w:rsid w:val="00CE1542"/>
    <w:rsid w:val="00D14267"/>
    <w:rsid w:val="00D26B17"/>
    <w:rsid w:val="00D31BF8"/>
    <w:rsid w:val="00D328F4"/>
    <w:rsid w:val="00D33515"/>
    <w:rsid w:val="00D47A84"/>
    <w:rsid w:val="00D50EED"/>
    <w:rsid w:val="00DA6DE7"/>
    <w:rsid w:val="00DC7890"/>
    <w:rsid w:val="00DD031A"/>
    <w:rsid w:val="00DD166A"/>
    <w:rsid w:val="00DE1E38"/>
    <w:rsid w:val="00DE5CB5"/>
    <w:rsid w:val="00E12E7C"/>
    <w:rsid w:val="00E669BB"/>
    <w:rsid w:val="00E903D9"/>
    <w:rsid w:val="00E905FF"/>
    <w:rsid w:val="00EA2CCE"/>
    <w:rsid w:val="00EA6A48"/>
    <w:rsid w:val="00EB70E7"/>
    <w:rsid w:val="00EC0CAD"/>
    <w:rsid w:val="00EC3BEF"/>
    <w:rsid w:val="00EF3F8F"/>
    <w:rsid w:val="00F02A5B"/>
    <w:rsid w:val="00F120C1"/>
    <w:rsid w:val="00F146C4"/>
    <w:rsid w:val="00F163A3"/>
    <w:rsid w:val="00F42F79"/>
    <w:rsid w:val="00F47136"/>
    <w:rsid w:val="00F620C3"/>
    <w:rsid w:val="00F67AB2"/>
    <w:rsid w:val="00F85F30"/>
    <w:rsid w:val="00FA7362"/>
    <w:rsid w:val="00FB63D4"/>
    <w:rsid w:val="00FC3402"/>
    <w:rsid w:val="00FE5D6A"/>
    <w:rsid w:val="00FE70F7"/>
    <w:rsid w:val="00FF12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856"/>
    <w:pPr>
      <w:spacing w:before="120" w:after="120" w:line="240" w:lineRule="auto"/>
      <w:jc w:val="both"/>
    </w:pPr>
    <w:rPr>
      <w:rFonts w:ascii="Calibri" w:hAnsi="Calibri"/>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0D4856"/>
    <w:rPr>
      <w:rFonts w:ascii="Calibri" w:hAnsi="Calibri"/>
      <w:b w:val="0"/>
      <w:i w:val="0"/>
      <w:caps/>
      <w:smallCaps w:val="0"/>
      <w:color w:val="0000FF" w:themeColor="hyperlink"/>
      <w:sz w:val="16"/>
      <w:u w:val="single"/>
    </w:rPr>
  </w:style>
  <w:style w:type="paragraph" w:styleId="a3">
    <w:name w:val="List Paragraph"/>
    <w:basedOn w:val="a"/>
    <w:uiPriority w:val="34"/>
    <w:qFormat/>
    <w:rsid w:val="000D4856"/>
    <w:pPr>
      <w:spacing w:before="0" w:after="200" w:line="276" w:lineRule="auto"/>
      <w:ind w:left="720"/>
      <w:contextualSpacing/>
      <w:jc w:val="left"/>
    </w:pPr>
    <w:rPr>
      <w:rFonts w:asciiTheme="minorHAnsi" w:hAnsiTheme="minorHAnsi"/>
      <w:sz w:val="22"/>
    </w:rPr>
  </w:style>
  <w:style w:type="paragraph" w:styleId="a4">
    <w:name w:val="header"/>
    <w:basedOn w:val="a"/>
    <w:link w:val="Char"/>
    <w:uiPriority w:val="99"/>
    <w:unhideWhenUsed/>
    <w:rsid w:val="003E3046"/>
    <w:pPr>
      <w:tabs>
        <w:tab w:val="center" w:pos="4153"/>
        <w:tab w:val="right" w:pos="8306"/>
      </w:tabs>
      <w:spacing w:before="0" w:after="0"/>
    </w:pPr>
  </w:style>
  <w:style w:type="character" w:customStyle="1" w:styleId="Char">
    <w:name w:val="Κεφαλίδα Char"/>
    <w:basedOn w:val="a0"/>
    <w:link w:val="a4"/>
    <w:uiPriority w:val="99"/>
    <w:rsid w:val="003E3046"/>
    <w:rPr>
      <w:rFonts w:ascii="Calibri" w:hAnsi="Calibri"/>
      <w:sz w:val="20"/>
    </w:rPr>
  </w:style>
  <w:style w:type="paragraph" w:styleId="a5">
    <w:name w:val="footer"/>
    <w:basedOn w:val="a"/>
    <w:link w:val="Char0"/>
    <w:uiPriority w:val="99"/>
    <w:unhideWhenUsed/>
    <w:rsid w:val="003E3046"/>
    <w:pPr>
      <w:tabs>
        <w:tab w:val="center" w:pos="4153"/>
        <w:tab w:val="right" w:pos="8306"/>
      </w:tabs>
      <w:spacing w:before="0" w:after="0"/>
    </w:pPr>
  </w:style>
  <w:style w:type="character" w:customStyle="1" w:styleId="Char0">
    <w:name w:val="Υποσέλιδο Char"/>
    <w:basedOn w:val="a0"/>
    <w:link w:val="a5"/>
    <w:uiPriority w:val="99"/>
    <w:rsid w:val="003E3046"/>
    <w:rPr>
      <w:rFonts w:ascii="Calibri" w:hAnsi="Calibri"/>
      <w:sz w:val="20"/>
    </w:rPr>
  </w:style>
  <w:style w:type="paragraph" w:customStyle="1" w:styleId="CM1">
    <w:name w:val="CM1"/>
    <w:basedOn w:val="a"/>
    <w:next w:val="a"/>
    <w:uiPriority w:val="99"/>
    <w:rsid w:val="00114CAC"/>
    <w:pPr>
      <w:autoSpaceDE w:val="0"/>
      <w:autoSpaceDN w:val="0"/>
      <w:adjustRightInd w:val="0"/>
      <w:spacing w:before="0" w:after="0"/>
      <w:jc w:val="left"/>
    </w:pPr>
    <w:rPr>
      <w:rFonts w:ascii="EUAlbertina" w:hAnsi="EUAlbertina"/>
      <w:sz w:val="24"/>
      <w:szCs w:val="24"/>
    </w:rPr>
  </w:style>
  <w:style w:type="paragraph" w:customStyle="1" w:styleId="CM3">
    <w:name w:val="CM3"/>
    <w:basedOn w:val="a"/>
    <w:next w:val="a"/>
    <w:uiPriority w:val="99"/>
    <w:rsid w:val="00114CAC"/>
    <w:pPr>
      <w:autoSpaceDE w:val="0"/>
      <w:autoSpaceDN w:val="0"/>
      <w:adjustRightInd w:val="0"/>
      <w:spacing w:before="0" w:after="0"/>
      <w:jc w:val="left"/>
    </w:pPr>
    <w:rPr>
      <w:rFonts w:ascii="EUAlbertina" w:hAnsi="EUAlbertina"/>
      <w:sz w:val="24"/>
      <w:szCs w:val="24"/>
    </w:rPr>
  </w:style>
  <w:style w:type="paragraph" w:customStyle="1" w:styleId="CM4">
    <w:name w:val="CM4"/>
    <w:basedOn w:val="a"/>
    <w:next w:val="a"/>
    <w:uiPriority w:val="99"/>
    <w:rsid w:val="00114CAC"/>
    <w:pPr>
      <w:autoSpaceDE w:val="0"/>
      <w:autoSpaceDN w:val="0"/>
      <w:adjustRightInd w:val="0"/>
      <w:spacing w:before="0" w:after="0"/>
      <w:jc w:val="left"/>
    </w:pPr>
    <w:rPr>
      <w:rFonts w:ascii="EUAlbertina" w:hAnsi="EUAlbertina"/>
      <w:sz w:val="24"/>
      <w:szCs w:val="24"/>
    </w:rPr>
  </w:style>
  <w:style w:type="paragraph" w:styleId="a6">
    <w:name w:val="footnote text"/>
    <w:aliases w:val="Point 3 Char,Footnote text,Char, Char"/>
    <w:basedOn w:val="a"/>
    <w:link w:val="Char1"/>
    <w:semiHidden/>
    <w:rsid w:val="00E669BB"/>
    <w:pPr>
      <w:spacing w:before="0" w:after="0"/>
      <w:jc w:val="left"/>
    </w:pPr>
    <w:rPr>
      <w:rFonts w:ascii="Times New Roman" w:eastAsia="Times New Roman" w:hAnsi="Times New Roman" w:cs="Times New Roman"/>
      <w:szCs w:val="20"/>
      <w:lang w:eastAsia="el-GR"/>
    </w:rPr>
  </w:style>
  <w:style w:type="character" w:customStyle="1" w:styleId="Char1">
    <w:name w:val="Κείμενο υποσημείωσης Char"/>
    <w:aliases w:val="Point 3 Char Char,Footnote text Char,Char Char, Char Char"/>
    <w:basedOn w:val="a0"/>
    <w:link w:val="a6"/>
    <w:semiHidden/>
    <w:rsid w:val="00E669BB"/>
    <w:rPr>
      <w:rFonts w:ascii="Times New Roman" w:eastAsia="Times New Roman" w:hAnsi="Times New Roman" w:cs="Times New Roman"/>
      <w:sz w:val="20"/>
      <w:szCs w:val="20"/>
      <w:lang w:eastAsia="el-GR"/>
    </w:rPr>
  </w:style>
  <w:style w:type="character" w:styleId="a7">
    <w:name w:val="footnote reference"/>
    <w:aliases w:val="Footnote symbol,Footnote"/>
    <w:semiHidden/>
    <w:rsid w:val="00E669BB"/>
    <w:rPr>
      <w:vertAlign w:val="superscript"/>
    </w:rPr>
  </w:style>
  <w:style w:type="paragraph" w:customStyle="1" w:styleId="Default">
    <w:name w:val="Default"/>
    <w:rsid w:val="00C71C36"/>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Balloon Text"/>
    <w:basedOn w:val="a"/>
    <w:link w:val="Char2"/>
    <w:uiPriority w:val="99"/>
    <w:semiHidden/>
    <w:unhideWhenUsed/>
    <w:rsid w:val="00B20E32"/>
    <w:pPr>
      <w:spacing w:before="0" w:after="0"/>
    </w:pPr>
    <w:rPr>
      <w:rFonts w:ascii="Tahoma" w:hAnsi="Tahoma" w:cs="Tahoma"/>
      <w:sz w:val="16"/>
      <w:szCs w:val="16"/>
    </w:rPr>
  </w:style>
  <w:style w:type="character" w:customStyle="1" w:styleId="Char2">
    <w:name w:val="Κείμενο πλαισίου Char"/>
    <w:basedOn w:val="a0"/>
    <w:link w:val="a8"/>
    <w:uiPriority w:val="99"/>
    <w:semiHidden/>
    <w:rsid w:val="00B20E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856"/>
    <w:pPr>
      <w:spacing w:before="120" w:after="120" w:line="240" w:lineRule="auto"/>
      <w:jc w:val="both"/>
    </w:pPr>
    <w:rPr>
      <w:rFonts w:ascii="Calibri" w:hAnsi="Calibri"/>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0D4856"/>
    <w:rPr>
      <w:rFonts w:ascii="Calibri" w:hAnsi="Calibri"/>
      <w:b w:val="0"/>
      <w:i w:val="0"/>
      <w:caps/>
      <w:smallCaps w:val="0"/>
      <w:color w:val="0000FF" w:themeColor="hyperlink"/>
      <w:sz w:val="16"/>
      <w:u w:val="single"/>
    </w:rPr>
  </w:style>
  <w:style w:type="paragraph" w:styleId="a3">
    <w:name w:val="List Paragraph"/>
    <w:basedOn w:val="a"/>
    <w:uiPriority w:val="34"/>
    <w:qFormat/>
    <w:rsid w:val="000D4856"/>
    <w:pPr>
      <w:spacing w:before="0" w:after="200" w:line="276" w:lineRule="auto"/>
      <w:ind w:left="720"/>
      <w:contextualSpacing/>
      <w:jc w:val="left"/>
    </w:pPr>
    <w:rPr>
      <w:rFonts w:asciiTheme="minorHAnsi" w:hAnsiTheme="minorHAnsi"/>
      <w:sz w:val="22"/>
    </w:rPr>
  </w:style>
  <w:style w:type="paragraph" w:styleId="a4">
    <w:name w:val="header"/>
    <w:basedOn w:val="a"/>
    <w:link w:val="Char"/>
    <w:uiPriority w:val="99"/>
    <w:unhideWhenUsed/>
    <w:rsid w:val="003E3046"/>
    <w:pPr>
      <w:tabs>
        <w:tab w:val="center" w:pos="4153"/>
        <w:tab w:val="right" w:pos="8306"/>
      </w:tabs>
      <w:spacing w:before="0" w:after="0"/>
    </w:pPr>
  </w:style>
  <w:style w:type="character" w:customStyle="1" w:styleId="Char">
    <w:name w:val="Κεφαλίδα Char"/>
    <w:basedOn w:val="a0"/>
    <w:link w:val="a4"/>
    <w:uiPriority w:val="99"/>
    <w:rsid w:val="003E3046"/>
    <w:rPr>
      <w:rFonts w:ascii="Calibri" w:hAnsi="Calibri"/>
      <w:sz w:val="20"/>
    </w:rPr>
  </w:style>
  <w:style w:type="paragraph" w:styleId="a5">
    <w:name w:val="footer"/>
    <w:basedOn w:val="a"/>
    <w:link w:val="Char0"/>
    <w:uiPriority w:val="99"/>
    <w:unhideWhenUsed/>
    <w:rsid w:val="003E3046"/>
    <w:pPr>
      <w:tabs>
        <w:tab w:val="center" w:pos="4153"/>
        <w:tab w:val="right" w:pos="8306"/>
      </w:tabs>
      <w:spacing w:before="0" w:after="0"/>
    </w:pPr>
  </w:style>
  <w:style w:type="character" w:customStyle="1" w:styleId="Char0">
    <w:name w:val="Υποσέλιδο Char"/>
    <w:basedOn w:val="a0"/>
    <w:link w:val="a5"/>
    <w:uiPriority w:val="99"/>
    <w:rsid w:val="003E3046"/>
    <w:rPr>
      <w:rFonts w:ascii="Calibri" w:hAnsi="Calibri"/>
      <w:sz w:val="20"/>
    </w:rPr>
  </w:style>
  <w:style w:type="paragraph" w:customStyle="1" w:styleId="CM1">
    <w:name w:val="CM1"/>
    <w:basedOn w:val="a"/>
    <w:next w:val="a"/>
    <w:uiPriority w:val="99"/>
    <w:rsid w:val="00114CAC"/>
    <w:pPr>
      <w:autoSpaceDE w:val="0"/>
      <w:autoSpaceDN w:val="0"/>
      <w:adjustRightInd w:val="0"/>
      <w:spacing w:before="0" w:after="0"/>
      <w:jc w:val="left"/>
    </w:pPr>
    <w:rPr>
      <w:rFonts w:ascii="EUAlbertina" w:hAnsi="EUAlbertina"/>
      <w:sz w:val="24"/>
      <w:szCs w:val="24"/>
    </w:rPr>
  </w:style>
  <w:style w:type="paragraph" w:customStyle="1" w:styleId="CM3">
    <w:name w:val="CM3"/>
    <w:basedOn w:val="a"/>
    <w:next w:val="a"/>
    <w:uiPriority w:val="99"/>
    <w:rsid w:val="00114CAC"/>
    <w:pPr>
      <w:autoSpaceDE w:val="0"/>
      <w:autoSpaceDN w:val="0"/>
      <w:adjustRightInd w:val="0"/>
      <w:spacing w:before="0" w:after="0"/>
      <w:jc w:val="left"/>
    </w:pPr>
    <w:rPr>
      <w:rFonts w:ascii="EUAlbertina" w:hAnsi="EUAlbertina"/>
      <w:sz w:val="24"/>
      <w:szCs w:val="24"/>
    </w:rPr>
  </w:style>
  <w:style w:type="paragraph" w:customStyle="1" w:styleId="CM4">
    <w:name w:val="CM4"/>
    <w:basedOn w:val="a"/>
    <w:next w:val="a"/>
    <w:uiPriority w:val="99"/>
    <w:rsid w:val="00114CAC"/>
    <w:pPr>
      <w:autoSpaceDE w:val="0"/>
      <w:autoSpaceDN w:val="0"/>
      <w:adjustRightInd w:val="0"/>
      <w:spacing w:before="0" w:after="0"/>
      <w:jc w:val="left"/>
    </w:pPr>
    <w:rPr>
      <w:rFonts w:ascii="EUAlbertina" w:hAnsi="EUAlbertina"/>
      <w:sz w:val="24"/>
      <w:szCs w:val="24"/>
    </w:rPr>
  </w:style>
  <w:style w:type="paragraph" w:styleId="a6">
    <w:name w:val="footnote text"/>
    <w:aliases w:val="Point 3 Char,Footnote text,Char, Char"/>
    <w:basedOn w:val="a"/>
    <w:link w:val="Char1"/>
    <w:semiHidden/>
    <w:rsid w:val="00E669BB"/>
    <w:pPr>
      <w:spacing w:before="0" w:after="0"/>
      <w:jc w:val="left"/>
    </w:pPr>
    <w:rPr>
      <w:rFonts w:ascii="Times New Roman" w:eastAsia="Times New Roman" w:hAnsi="Times New Roman" w:cs="Times New Roman"/>
      <w:szCs w:val="20"/>
      <w:lang w:eastAsia="el-GR"/>
    </w:rPr>
  </w:style>
  <w:style w:type="character" w:customStyle="1" w:styleId="Char1">
    <w:name w:val="Κείμενο υποσημείωσης Char"/>
    <w:aliases w:val="Point 3 Char Char,Footnote text Char,Char Char, Char Char"/>
    <w:basedOn w:val="a0"/>
    <w:link w:val="a6"/>
    <w:semiHidden/>
    <w:rsid w:val="00E669BB"/>
    <w:rPr>
      <w:rFonts w:ascii="Times New Roman" w:eastAsia="Times New Roman" w:hAnsi="Times New Roman" w:cs="Times New Roman"/>
      <w:sz w:val="20"/>
      <w:szCs w:val="20"/>
      <w:lang w:eastAsia="el-GR"/>
    </w:rPr>
  </w:style>
  <w:style w:type="character" w:styleId="a7">
    <w:name w:val="footnote reference"/>
    <w:aliases w:val="Footnote symbol,Footnote"/>
    <w:semiHidden/>
    <w:rsid w:val="00E669BB"/>
    <w:rPr>
      <w:vertAlign w:val="superscript"/>
    </w:rPr>
  </w:style>
  <w:style w:type="paragraph" w:customStyle="1" w:styleId="Default">
    <w:name w:val="Default"/>
    <w:rsid w:val="00C71C36"/>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Balloon Text"/>
    <w:basedOn w:val="a"/>
    <w:link w:val="Char2"/>
    <w:uiPriority w:val="99"/>
    <w:semiHidden/>
    <w:unhideWhenUsed/>
    <w:rsid w:val="00B20E32"/>
    <w:pPr>
      <w:spacing w:before="0" w:after="0"/>
    </w:pPr>
    <w:rPr>
      <w:rFonts w:ascii="Tahoma" w:hAnsi="Tahoma" w:cs="Tahoma"/>
      <w:sz w:val="16"/>
      <w:szCs w:val="16"/>
    </w:rPr>
  </w:style>
  <w:style w:type="character" w:customStyle="1" w:styleId="Char2">
    <w:name w:val="Κείμενο πλαισίου Char"/>
    <w:basedOn w:val="a0"/>
    <w:link w:val="a8"/>
    <w:uiPriority w:val="99"/>
    <w:semiHidden/>
    <w:rsid w:val="00B20E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03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1054</Words>
  <Characters>5695</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6736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c:creator>
  <cp:lastModifiedBy>Pelekasi</cp:lastModifiedBy>
  <cp:revision>5</cp:revision>
  <cp:lastPrinted>2015-06-16T20:18:00Z</cp:lastPrinted>
  <dcterms:created xsi:type="dcterms:W3CDTF">2015-06-18T19:15:00Z</dcterms:created>
  <dcterms:modified xsi:type="dcterms:W3CDTF">2015-06-19T06:59:00Z</dcterms:modified>
</cp:coreProperties>
</file>